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0" w:beforeLines="700"/>
        <w:ind w:right="330" w:rightChars="150"/>
        <w:jc w:val="right"/>
        <w:textAlignment w:val="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drawing>
          <wp:anchor distT="0" distB="0" distL="114300" distR="114300" simplePos="0" relativeHeight="251660288" behindDoc="1" locked="0" layoutInCell="1" allowOverlap="1">
            <wp:simplePos x="0" y="0"/>
            <wp:positionH relativeFrom="column">
              <wp:posOffset>-466725</wp:posOffset>
            </wp:positionH>
            <wp:positionV relativeFrom="paragraph">
              <wp:posOffset>-560070</wp:posOffset>
            </wp:positionV>
            <wp:extent cx="6070600" cy="1839595"/>
            <wp:effectExtent l="0" t="0" r="6350" b="8255"/>
            <wp:wrapNone/>
            <wp:docPr id="2" name="图片 1" descr="G:\00编号文件\零号\图章\2013_12_27\00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00编号文件\零号\图章\2013_12_27\001D.jpg"/>
                    <pic:cNvPicPr>
                      <a:picLocks noChangeAspect="1" noChangeArrowheads="1"/>
                    </pic:cNvPicPr>
                  </pic:nvPicPr>
                  <pic:blipFill>
                    <a:blip r:embed="rId7"/>
                    <a:srcRect/>
                    <a:stretch>
                      <a:fillRect/>
                    </a:stretch>
                  </pic:blipFill>
                  <pic:spPr>
                    <a:xfrm>
                      <a:off x="0" y="0"/>
                      <a:ext cx="6070600" cy="1839595"/>
                    </a:xfrm>
                    <a:prstGeom prst="rect">
                      <a:avLst/>
                    </a:prstGeom>
                    <a:noFill/>
                    <a:ln w="9525">
                      <a:noFill/>
                      <a:miter lim="800000"/>
                      <a:headEnd/>
                      <a:tailEnd/>
                    </a:ln>
                  </pic:spPr>
                </pic:pic>
              </a:graphicData>
            </a:graphic>
          </wp:anchor>
        </w:drawing>
      </w:r>
      <w:r>
        <w:rPr>
          <w:rFonts w:ascii="Times New Roman" w:hAnsi="仿宋" w:eastAsia="仿宋" w:cs="Times New Roman"/>
          <w:sz w:val="32"/>
          <w:szCs w:val="32"/>
        </w:rPr>
        <w:t>湘民教协</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w:t>
      </w:r>
      <w:r>
        <w:rPr>
          <w:rFonts w:hint="default" w:ascii="Times New Roman" w:hAnsi="Times New Roman" w:cs="Times New Roman"/>
          <w:sz w:val="32"/>
          <w:szCs w:val="32"/>
          <w:lang w:val="en-US" w:eastAsia="zh-CN"/>
        </w:rPr>
        <w:t>12</w:t>
      </w:r>
      <w:r>
        <w:rPr>
          <w:rFonts w:ascii="Times New Roman" w:hAnsi="仿宋" w:eastAsia="仿宋" w:cs="Times New Roman"/>
          <w:sz w:val="32"/>
          <w:szCs w:val="32"/>
        </w:rPr>
        <w:t>号</w:t>
      </w:r>
    </w:p>
    <w:p>
      <w:pPr>
        <w:pStyle w:val="2"/>
        <w:keepNext w:val="0"/>
        <w:keepLines w:val="0"/>
        <w:pageBreakBefore w:val="0"/>
        <w:widowControl w:val="0"/>
        <w:kinsoku/>
        <w:wordWrap/>
        <w:overflowPunct/>
        <w:topLinePunct w:val="0"/>
        <w:autoSpaceDE w:val="0"/>
        <w:autoSpaceDN w:val="0"/>
        <w:bidi w:val="0"/>
        <w:adjustRightInd w:val="0"/>
        <w:snapToGrid w:val="0"/>
        <w:spacing w:before="0" w:beforeLines="100" w:line="240" w:lineRule="auto"/>
        <w:ind w:left="0"/>
        <w:jc w:val="center"/>
        <w:textAlignment w:val="auto"/>
        <w:rPr>
          <w:rFonts w:ascii="华文中宋" w:hAnsi="华文中宋" w:eastAsia="华文中宋" w:cs="Times New Roman Regular"/>
          <w:color w:val="000000" w:themeColor="text1"/>
          <w:sz w:val="44"/>
          <w:szCs w:val="44"/>
          <w:lang w:val="en-US"/>
        </w:rPr>
      </w:pPr>
      <w:r>
        <w:rPr>
          <w:rFonts w:hint="eastAsia" w:ascii="华文中宋" w:hAnsi="华文中宋" w:eastAsia="华文中宋" w:cs="Times New Roman Regular"/>
          <w:color w:val="000000" w:themeColor="text1"/>
          <w:sz w:val="44"/>
          <w:szCs w:val="44"/>
          <w:lang w:val="en-US"/>
        </w:rPr>
        <w:t>关于举办分类管理与民办学校财税及法律</w:t>
      </w:r>
    </w:p>
    <w:p>
      <w:pPr>
        <w:pStyle w:val="2"/>
        <w:adjustRightInd w:val="0"/>
        <w:snapToGrid w:val="0"/>
        <w:spacing w:line="360" w:lineRule="auto"/>
        <w:ind w:left="0"/>
        <w:jc w:val="center"/>
        <w:rPr>
          <w:rFonts w:ascii="华文中宋" w:hAnsi="华文中宋" w:eastAsia="华文中宋" w:cs="Times New Roman Regular"/>
          <w:color w:val="000000" w:themeColor="text1"/>
          <w:sz w:val="44"/>
          <w:szCs w:val="44"/>
        </w:rPr>
      </w:pPr>
      <w:r>
        <w:rPr>
          <w:rFonts w:hint="eastAsia" w:ascii="华文中宋" w:hAnsi="华文中宋" w:eastAsia="华文中宋" w:cs="Times New Roman Regular"/>
          <w:color w:val="000000" w:themeColor="text1"/>
          <w:sz w:val="44"/>
          <w:szCs w:val="44"/>
          <w:lang w:val="en-US"/>
        </w:rPr>
        <w:t>合规系列培训班的通知</w:t>
      </w:r>
    </w:p>
    <w:p>
      <w:pPr>
        <w:keepNext w:val="0"/>
        <w:keepLines w:val="0"/>
        <w:pageBreakBefore w:val="0"/>
        <w:widowControl w:val="0"/>
        <w:kinsoku/>
        <w:wordWrap/>
        <w:topLinePunct w:val="0"/>
        <w:bidi w:val="0"/>
        <w:adjustRightInd w:val="0"/>
        <w:snapToGrid w:val="0"/>
        <w:spacing w:line="360" w:lineRule="auto"/>
        <w:ind w:right="0"/>
        <w:textAlignment w:val="auto"/>
        <w:rPr>
          <w:b/>
          <w:sz w:val="32"/>
          <w:szCs w:val="32"/>
        </w:rPr>
      </w:pPr>
      <w:r>
        <w:rPr>
          <w:rFonts w:hint="eastAsia"/>
          <w:b/>
          <w:sz w:val="32"/>
          <w:szCs w:val="32"/>
        </w:rPr>
        <w:t>各副会长、常务理事、理事、会员单位：</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Cs/>
          <w:sz w:val="32"/>
          <w:szCs w:val="32"/>
          <w:lang w:val="en-US"/>
        </w:rPr>
      </w:pPr>
      <w:r>
        <w:rPr>
          <w:rFonts w:hint="eastAsia"/>
          <w:bCs/>
          <w:kern w:val="2"/>
          <w:sz w:val="32"/>
          <w:szCs w:val="32"/>
          <w:lang w:val="en-US" w:bidi="ar-SA"/>
        </w:rPr>
        <w:t>为深入学习贯彻习近平总书记关于教育工作的重要论述，进一步落实民办教育新法新政，</w:t>
      </w:r>
      <w:r>
        <w:rPr>
          <w:rFonts w:hint="eastAsia"/>
          <w:bCs/>
          <w:sz w:val="32"/>
          <w:szCs w:val="32"/>
          <w:lang w:val="en-US"/>
        </w:rPr>
        <w:t>帮助大家正确认识民办教育的未来发展趋势，真正把思想和行动统一到新法新政的决策部署上来，把智慧和力量凝聚到推进民办学校规范管理和高质量发展的要求上来，</w:t>
      </w:r>
      <w:r>
        <w:rPr>
          <w:rFonts w:ascii="Times New Roman Regular" w:hAnsi="Times New Roman Regular" w:cs="Times New Roman Regular"/>
          <w:bCs/>
          <w:color w:val="000000"/>
          <w:kern w:val="2"/>
          <w:sz w:val="32"/>
          <w:szCs w:val="32"/>
        </w:rPr>
        <w:t>提高民办学校董事长、校长及相关管理人员的综合素质和能力，</w:t>
      </w:r>
      <w:r>
        <w:rPr>
          <w:rFonts w:hint="eastAsia"/>
          <w:bCs/>
          <w:sz w:val="32"/>
          <w:szCs w:val="32"/>
          <w:lang w:val="en-US"/>
        </w:rPr>
        <w:t>全面</w:t>
      </w:r>
      <w:r>
        <w:rPr>
          <w:rFonts w:ascii="Times New Roman Regular" w:hAnsi="Times New Roman Regular" w:cs="Times New Roman Regular"/>
          <w:bCs/>
          <w:color w:val="000000"/>
          <w:kern w:val="2"/>
          <w:sz w:val="32"/>
          <w:szCs w:val="32"/>
        </w:rPr>
        <w:t>提升民办学校法律风险防范意识，</w:t>
      </w:r>
      <w:r>
        <w:rPr>
          <w:rFonts w:hint="eastAsia" w:ascii="Times New Roman Regular" w:hAnsi="Times New Roman Regular" w:cs="Times New Roman Regular"/>
          <w:bCs/>
          <w:color w:val="000000"/>
          <w:kern w:val="2"/>
          <w:sz w:val="32"/>
          <w:szCs w:val="32"/>
        </w:rPr>
        <w:t>促进民办学校规范办学，推动全省民办学校高质量发展，</w:t>
      </w:r>
      <w:r>
        <w:rPr>
          <w:rFonts w:hint="eastAsia"/>
          <w:bCs/>
          <w:kern w:val="2"/>
          <w:sz w:val="32"/>
          <w:szCs w:val="32"/>
          <w:lang w:val="en-US" w:bidi="ar-SA"/>
        </w:rPr>
        <w:t>经研究决定，特举办分类管理与民办学校财税及法律合规系列培训班</w:t>
      </w:r>
      <w:r>
        <w:rPr>
          <w:bCs/>
          <w:kern w:val="2"/>
          <w:sz w:val="32"/>
          <w:szCs w:val="32"/>
          <w:lang w:val="en-US" w:bidi="ar-SA"/>
        </w:rPr>
        <w:t>，</w:t>
      </w:r>
      <w:r>
        <w:rPr>
          <w:rFonts w:hint="eastAsia"/>
          <w:bCs/>
          <w:kern w:val="2"/>
          <w:sz w:val="32"/>
          <w:szCs w:val="32"/>
          <w:lang w:val="en-US" w:bidi="ar-SA"/>
        </w:rPr>
        <w:t>拟组织4场培训，分别是综合性培训、</w:t>
      </w:r>
      <w:r>
        <w:rPr>
          <w:bCs/>
          <w:kern w:val="2"/>
          <w:sz w:val="32"/>
          <w:szCs w:val="32"/>
          <w:lang w:val="en-US" w:bidi="ar-SA"/>
        </w:rPr>
        <w:t>基础教育专委会专场培训、职成教育专委会专场培训、高等教育专委会专场培训。</w:t>
      </w:r>
      <w:r>
        <w:rPr>
          <w:rFonts w:hint="eastAsia"/>
          <w:bCs/>
          <w:kern w:val="2"/>
          <w:sz w:val="32"/>
          <w:szCs w:val="32"/>
          <w:lang w:val="en-US" w:bidi="ar-SA"/>
        </w:rPr>
        <w:t>现将第一场综合性培训相关事宜通知如下:</w:t>
      </w:r>
    </w:p>
    <w:p>
      <w:pPr>
        <w:pStyle w:val="2"/>
        <w:keepNext w:val="0"/>
        <w:keepLines w:val="0"/>
        <w:pageBreakBefore w:val="0"/>
        <w:widowControl w:val="0"/>
        <w:kinsoku/>
        <w:wordWrap/>
        <w:topLinePunct w:val="0"/>
        <w:autoSpaceDE/>
        <w:autoSpaceDN/>
        <w:bidi w:val="0"/>
        <w:adjustRightInd w:val="0"/>
        <w:snapToGrid w:val="0"/>
        <w:spacing w:line="360" w:lineRule="auto"/>
        <w:ind w:left="0" w:leftChars="0" w:right="0" w:firstLine="643" w:firstLineChars="200"/>
        <w:textAlignment w:val="auto"/>
        <w:rPr>
          <w:bCs w:val="0"/>
          <w:kern w:val="2"/>
          <w:sz w:val="32"/>
          <w:szCs w:val="32"/>
          <w:lang w:val="en-US" w:bidi="ar-SA"/>
        </w:rPr>
      </w:pPr>
      <w:r>
        <w:rPr>
          <w:rFonts w:hint="eastAsia"/>
          <w:bCs w:val="0"/>
          <w:kern w:val="2"/>
          <w:sz w:val="32"/>
          <w:szCs w:val="32"/>
          <w:lang w:val="en-US" w:bidi="ar-SA"/>
        </w:rPr>
        <w:t>一、组织形式</w:t>
      </w:r>
    </w:p>
    <w:p>
      <w:pPr>
        <w:keepNext w:val="0"/>
        <w:keepLines w:val="0"/>
        <w:pageBreakBefore w:val="0"/>
        <w:widowControl w:val="0"/>
        <w:kinsoku/>
        <w:wordWrap/>
        <w:topLinePunct w:val="0"/>
        <w:autoSpaceDE/>
        <w:autoSpaceDN/>
        <w:bidi w:val="0"/>
        <w:adjustRightInd w:val="0"/>
        <w:snapToGrid w:val="0"/>
        <w:spacing w:line="360" w:lineRule="auto"/>
        <w:ind w:left="0" w:leftChars="0" w:right="0" w:firstLine="640" w:firstLineChars="200"/>
        <w:jc w:val="both"/>
        <w:textAlignment w:val="auto"/>
        <w:rPr>
          <w:kern w:val="2"/>
          <w:sz w:val="32"/>
          <w:szCs w:val="32"/>
          <w:lang w:val="en-US" w:bidi="ar-SA"/>
        </w:rPr>
      </w:pPr>
      <w:r>
        <w:rPr>
          <w:sz w:val="32"/>
        </w:rPr>
        <w:pict>
          <v:shape id="_x0000_s1026" o:spid="_x0000_s1026" o:spt="3" type="#_x0000_t3" style="position:absolute;left:0pt;margin-left:147.55pt;margin-top:66.25pt;height:30.75pt;width:115.5pt;z-index:251662336;mso-width-relative:page;mso-height-relative:page;" fillcolor="#FFFFFF" filled="t" stroked="t" coordsize="21600,21600">
            <v:path/>
            <v:fill on="t" color2="#FFFFFF" focussize="0,0"/>
            <v:stroke color="#FFFFFF"/>
            <v:imagedata o:title=""/>
            <o:lock v:ext="edit" aspectratio="f"/>
          </v:shape>
        </w:pict>
      </w:r>
      <w:r>
        <w:rPr>
          <w:rFonts w:hint="eastAsia"/>
          <w:kern w:val="2"/>
          <w:sz w:val="32"/>
          <w:szCs w:val="32"/>
          <w:lang w:val="en-US" w:bidi="ar-SA"/>
        </w:rPr>
        <w:t>主办单位:湖南省民办教育协会</w:t>
      </w:r>
    </w:p>
    <w:p>
      <w:pPr>
        <w:keepNext w:val="0"/>
        <w:keepLines w:val="0"/>
        <w:pageBreakBefore w:val="0"/>
        <w:widowControl w:val="0"/>
        <w:kinsoku/>
        <w:wordWrap/>
        <w:topLinePunct w:val="0"/>
        <w:autoSpaceDE/>
        <w:autoSpaceDN/>
        <w:bidi w:val="0"/>
        <w:adjustRightInd w:val="0"/>
        <w:snapToGrid w:val="0"/>
        <w:spacing w:line="360" w:lineRule="auto"/>
        <w:ind w:left="0" w:leftChars="0" w:right="0" w:firstLine="640" w:firstLineChars="200"/>
        <w:jc w:val="both"/>
        <w:textAlignment w:val="auto"/>
        <w:rPr>
          <w:rFonts w:hint="eastAsia"/>
          <w:kern w:val="2"/>
          <w:sz w:val="32"/>
          <w:szCs w:val="32"/>
          <w:lang w:val="en-US" w:bidi="ar-SA"/>
        </w:rPr>
      </w:pPr>
      <w:r>
        <w:rPr>
          <w:rFonts w:hint="eastAsia"/>
          <w:kern w:val="2"/>
          <w:sz w:val="32"/>
          <w:szCs w:val="32"/>
          <w:lang w:val="en-US" w:bidi="ar-SA"/>
        </w:rPr>
        <w:t>承办单位:肃雍财税法律、肃雍民教法律</w:t>
      </w:r>
    </w:p>
    <w:p>
      <w:pPr>
        <w:pStyle w:val="2"/>
        <w:keepNext w:val="0"/>
        <w:keepLines w:val="0"/>
        <w:pageBreakBefore w:val="0"/>
        <w:widowControl w:val="0"/>
        <w:kinsoku/>
        <w:wordWrap/>
        <w:topLinePunct w:val="0"/>
        <w:autoSpaceDE/>
        <w:autoSpaceDN/>
        <w:bidi w:val="0"/>
        <w:adjustRightInd w:val="0"/>
        <w:snapToGrid w:val="0"/>
        <w:spacing w:line="360" w:lineRule="auto"/>
        <w:ind w:left="0" w:leftChars="0" w:right="0" w:firstLine="643" w:firstLineChars="200"/>
        <w:textAlignment w:val="auto"/>
        <w:rPr>
          <w:bCs w:val="0"/>
          <w:kern w:val="2"/>
          <w:sz w:val="32"/>
          <w:szCs w:val="32"/>
          <w:lang w:val="en-US" w:bidi="ar-SA"/>
        </w:rPr>
      </w:pPr>
      <w:r>
        <w:rPr>
          <w:rFonts w:hint="eastAsia"/>
          <w:bCs w:val="0"/>
          <w:kern w:val="2"/>
          <w:sz w:val="32"/>
          <w:szCs w:val="32"/>
          <w:lang w:val="en-US" w:bidi="ar-SA"/>
        </w:rPr>
        <w:t>二、培训时间：</w:t>
      </w:r>
    </w:p>
    <w:p>
      <w:pPr>
        <w:pStyle w:val="2"/>
        <w:keepNext w:val="0"/>
        <w:keepLines w:val="0"/>
        <w:pageBreakBefore w:val="0"/>
        <w:widowControl w:val="0"/>
        <w:kinsoku/>
        <w:wordWrap/>
        <w:topLinePunct w:val="0"/>
        <w:autoSpaceDE/>
        <w:autoSpaceDN/>
        <w:bidi w:val="0"/>
        <w:adjustRightInd w:val="0"/>
        <w:snapToGrid w:val="0"/>
        <w:spacing w:line="360" w:lineRule="auto"/>
        <w:ind w:left="0" w:leftChars="0" w:right="0" w:firstLine="640" w:firstLineChars="200"/>
        <w:textAlignment w:val="auto"/>
        <w:rPr>
          <w:rFonts w:hint="default" w:ascii="Times New Roman" w:hAnsi="Times New Roman" w:cs="Times New Roman"/>
          <w:b w:val="0"/>
          <w:bCs w:val="0"/>
          <w:kern w:val="2"/>
          <w:sz w:val="32"/>
          <w:szCs w:val="32"/>
          <w:lang w:val="en-US" w:bidi="ar-SA"/>
        </w:rPr>
      </w:pPr>
      <w:r>
        <w:rPr>
          <w:rFonts w:hint="default" w:ascii="Times New Roman" w:hAnsi="Times New Roman" w:cs="Times New Roman"/>
          <w:b w:val="0"/>
          <w:kern w:val="2"/>
          <w:sz w:val="32"/>
          <w:szCs w:val="32"/>
          <w:lang w:val="en-US" w:bidi="ar-SA"/>
        </w:rPr>
        <w:t>9月28日</w:t>
      </w:r>
      <w:r>
        <w:rPr>
          <w:rFonts w:hint="default" w:ascii="Times New Roman" w:hAnsi="Times New Roman" w:cs="Times New Roman"/>
          <w:b w:val="0"/>
          <w:bCs w:val="0"/>
          <w:kern w:val="2"/>
          <w:sz w:val="32"/>
          <w:szCs w:val="32"/>
          <w:lang w:val="en-US" w:bidi="ar-SA"/>
        </w:rPr>
        <w:t>，</w:t>
      </w:r>
      <w:r>
        <w:rPr>
          <w:rFonts w:hint="default" w:ascii="Times New Roman" w:hAnsi="Times New Roman" w:cs="Times New Roman"/>
          <w:b w:val="0"/>
          <w:kern w:val="2"/>
          <w:sz w:val="32"/>
          <w:szCs w:val="32"/>
          <w:lang w:val="en-US" w:bidi="ar-SA"/>
        </w:rPr>
        <w:t>上午</w:t>
      </w:r>
      <w:r>
        <w:rPr>
          <w:rFonts w:hint="default" w:ascii="Times New Roman" w:hAnsi="Times New Roman" w:cs="Times New Roman"/>
          <w:b w:val="0"/>
          <w:bCs w:val="0"/>
          <w:kern w:val="2"/>
          <w:sz w:val="32"/>
          <w:szCs w:val="32"/>
          <w:lang w:val="en-US" w:bidi="ar-SA"/>
        </w:rPr>
        <w:t>9</w:t>
      </w:r>
      <w:r>
        <w:rPr>
          <w:rFonts w:hint="default" w:ascii="Times New Roman" w:hAnsi="Times New Roman" w:cs="Times New Roman"/>
          <w:b w:val="0"/>
          <w:kern w:val="2"/>
          <w:sz w:val="32"/>
          <w:szCs w:val="32"/>
          <w:lang w:val="en-US" w:bidi="ar-SA"/>
        </w:rPr>
        <w:t xml:space="preserve">:00—12:00。 </w:t>
      </w:r>
    </w:p>
    <w:p>
      <w:pPr>
        <w:keepNext w:val="0"/>
        <w:keepLines w:val="0"/>
        <w:pageBreakBefore w:val="0"/>
        <w:widowControl w:val="0"/>
        <w:kinsoku/>
        <w:wordWrap/>
        <w:topLinePunct w:val="0"/>
        <w:autoSpaceDE/>
        <w:autoSpaceDN/>
        <w:bidi w:val="0"/>
        <w:adjustRightInd w:val="0"/>
        <w:snapToGrid w:val="0"/>
        <w:spacing w:line="360" w:lineRule="auto"/>
        <w:ind w:left="0" w:leftChars="0" w:right="0" w:firstLine="643" w:firstLineChars="200"/>
        <w:jc w:val="both"/>
        <w:textAlignment w:val="auto"/>
        <w:rPr>
          <w:b/>
          <w:kern w:val="2"/>
          <w:sz w:val="32"/>
          <w:szCs w:val="32"/>
          <w:lang w:val="en-US" w:bidi="ar-SA"/>
        </w:rPr>
      </w:pPr>
      <w:r>
        <w:rPr>
          <w:rFonts w:hint="eastAsia"/>
          <w:b/>
          <w:kern w:val="2"/>
          <w:sz w:val="32"/>
          <w:szCs w:val="32"/>
          <w:lang w:val="en-US" w:bidi="ar-SA"/>
        </w:rPr>
        <w:t>三</w:t>
      </w:r>
      <w:r>
        <w:rPr>
          <w:b/>
          <w:kern w:val="2"/>
          <w:sz w:val="32"/>
          <w:szCs w:val="32"/>
          <w:lang w:bidi="ar-SA"/>
        </w:rPr>
        <w:t>、</w:t>
      </w:r>
      <w:r>
        <w:rPr>
          <w:rFonts w:hint="eastAsia"/>
          <w:b/>
          <w:kern w:val="2"/>
          <w:sz w:val="32"/>
          <w:szCs w:val="32"/>
          <w:lang w:val="en-US" w:bidi="ar-SA"/>
        </w:rPr>
        <w:t>培训地点</w:t>
      </w:r>
    </w:p>
    <w:p>
      <w:pPr>
        <w:keepNext w:val="0"/>
        <w:keepLines w:val="0"/>
        <w:pageBreakBefore w:val="0"/>
        <w:widowControl w:val="0"/>
        <w:kinsoku/>
        <w:wordWrap/>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kern w:val="2"/>
          <w:sz w:val="32"/>
          <w:szCs w:val="32"/>
          <w:lang w:val="en-US" w:eastAsia="zh-CN" w:bidi="ar-SA"/>
        </w:rPr>
      </w:pPr>
      <w:r>
        <w:rPr>
          <w:bCs/>
          <w:kern w:val="2"/>
          <w:sz w:val="32"/>
          <w:szCs w:val="32"/>
          <w:lang w:val="en-US" w:bidi="ar-SA"/>
        </w:rPr>
        <w:t>湖南宾馆</w:t>
      </w:r>
      <w:r>
        <w:rPr>
          <w:rFonts w:hint="eastAsia" w:ascii="Times New Roman" w:hAnsi="Times New Roman" w:eastAsia="仿宋" w:cs="Times New Roman"/>
          <w:b w:val="0"/>
          <w:bCs/>
          <w:kern w:val="2"/>
          <w:sz w:val="32"/>
          <w:szCs w:val="32"/>
          <w:lang w:val="en-US" w:eastAsia="zh-CN" w:bidi="ar-SA"/>
        </w:rPr>
        <w:t>3楼会议室</w:t>
      </w:r>
      <w:r>
        <w:rPr>
          <w:rFonts w:hint="default" w:ascii="Times New Roman" w:hAnsi="Times New Roman" w:eastAsia="仿宋" w:cs="Times New Roman"/>
          <w:b w:val="0"/>
          <w:bCs/>
          <w:kern w:val="2"/>
          <w:sz w:val="32"/>
          <w:szCs w:val="32"/>
          <w:lang w:val="en-US" w:eastAsia="zh-CN" w:bidi="ar-SA"/>
        </w:rPr>
        <w:t>（</w:t>
      </w:r>
      <w:r>
        <w:rPr>
          <w:rFonts w:hint="eastAsia" w:ascii="Times New Roman" w:hAnsi="Times New Roman" w:eastAsia="仿宋" w:cs="Times New Roman"/>
          <w:b w:val="0"/>
          <w:bCs/>
          <w:kern w:val="2"/>
          <w:sz w:val="32"/>
          <w:szCs w:val="32"/>
          <w:lang w:val="en-US" w:eastAsia="zh-CN" w:bidi="ar-SA"/>
        </w:rPr>
        <w:t>长沙市芙蓉区营盘东路</w:t>
      </w:r>
      <w:r>
        <w:rPr>
          <w:rFonts w:hint="default" w:ascii="Times New Roman" w:hAnsi="Times New Roman" w:eastAsia="仿宋" w:cs="Times New Roman"/>
          <w:b w:val="0"/>
          <w:bCs/>
          <w:kern w:val="2"/>
          <w:sz w:val="32"/>
          <w:szCs w:val="32"/>
          <w:lang w:val="en-US" w:eastAsia="zh-CN" w:bidi="ar-SA"/>
        </w:rPr>
        <w:t>193号，总台电话：0731-84404888</w:t>
      </w:r>
      <w:r>
        <w:rPr>
          <w:rFonts w:hint="eastAsia" w:ascii="Times New Roman" w:hAnsi="Times New Roman" w:eastAsia="仿宋" w:cs="Times New Roman"/>
          <w:b w:val="0"/>
          <w:bCs/>
          <w:kern w:val="2"/>
          <w:sz w:val="32"/>
          <w:szCs w:val="32"/>
          <w:lang w:val="en-US" w:eastAsia="zh-CN" w:bidi="ar-SA"/>
        </w:rPr>
        <w:t xml:space="preserve"> ，客服经理童玲：13875994177。</w:t>
      </w:r>
      <w:r>
        <w:rPr>
          <w:rFonts w:hint="default" w:ascii="Times New Roman" w:hAnsi="Times New Roman" w:eastAsia="仿宋" w:cs="Times New Roman"/>
          <w:b w:val="0"/>
          <w:bCs/>
          <w:kern w:val="2"/>
          <w:sz w:val="32"/>
          <w:szCs w:val="32"/>
          <w:lang w:val="en-US" w:eastAsia="zh-CN" w:bidi="ar-SA"/>
        </w:rPr>
        <w:t>）</w:t>
      </w:r>
    </w:p>
    <w:p>
      <w:pPr>
        <w:keepNext w:val="0"/>
        <w:keepLines w:val="0"/>
        <w:pageBreakBefore w:val="0"/>
        <w:widowControl w:val="0"/>
        <w:kinsoku/>
        <w:wordWrap/>
        <w:topLinePunct w:val="0"/>
        <w:autoSpaceDE/>
        <w:autoSpaceDN/>
        <w:bidi w:val="0"/>
        <w:adjustRightInd w:val="0"/>
        <w:snapToGrid w:val="0"/>
        <w:spacing w:line="360" w:lineRule="auto"/>
        <w:ind w:left="0" w:leftChars="0" w:right="0" w:firstLine="643" w:firstLineChars="200"/>
        <w:jc w:val="both"/>
        <w:textAlignment w:val="auto"/>
        <w:rPr>
          <w:b/>
          <w:kern w:val="2"/>
          <w:sz w:val="32"/>
          <w:szCs w:val="32"/>
          <w:lang w:val="en-US" w:bidi="ar-SA"/>
        </w:rPr>
      </w:pPr>
      <w:r>
        <w:rPr>
          <w:rFonts w:hint="eastAsia"/>
          <w:b/>
          <w:kern w:val="2"/>
          <w:sz w:val="32"/>
          <w:szCs w:val="32"/>
          <w:lang w:val="en-US" w:bidi="ar-SA"/>
        </w:rPr>
        <w:t>四</w:t>
      </w:r>
      <w:r>
        <w:rPr>
          <w:b/>
          <w:kern w:val="2"/>
          <w:sz w:val="32"/>
          <w:szCs w:val="32"/>
          <w:lang w:bidi="ar-SA"/>
        </w:rPr>
        <w:t>、</w:t>
      </w:r>
      <w:r>
        <w:rPr>
          <w:rFonts w:hint="eastAsia"/>
          <w:b/>
          <w:kern w:val="2"/>
          <w:sz w:val="32"/>
          <w:szCs w:val="32"/>
          <w:lang w:val="en-US" w:bidi="ar-SA"/>
        </w:rPr>
        <w:t>参会对象</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Cs/>
          <w:sz w:val="32"/>
          <w:szCs w:val="32"/>
          <w:lang w:val="en-US"/>
        </w:rPr>
      </w:pPr>
      <w:r>
        <w:rPr>
          <w:rFonts w:hint="eastAsia" w:ascii="Times New Roman" w:hAnsi="Times New Roman" w:eastAsia="仿宋" w:cs="Times New Roman"/>
          <w:b w:val="0"/>
          <w:bCs/>
          <w:kern w:val="2"/>
          <w:sz w:val="32"/>
          <w:szCs w:val="32"/>
          <w:lang w:val="en-US" w:eastAsia="zh-CN" w:bidi="ar-SA"/>
        </w:rPr>
        <w:t>1.</w:t>
      </w:r>
      <w:r>
        <w:rPr>
          <w:rFonts w:hint="eastAsia"/>
          <w:bCs/>
          <w:sz w:val="32"/>
          <w:szCs w:val="32"/>
        </w:rPr>
        <w:t>参会人员为省民办教育协会</w:t>
      </w:r>
      <w:r>
        <w:rPr>
          <w:rFonts w:hint="eastAsia"/>
          <w:bCs/>
          <w:sz w:val="32"/>
          <w:szCs w:val="32"/>
          <w:lang w:val="en-US"/>
        </w:rPr>
        <w:t>各会员单位董事长、校长、副校长及财务、税务、法务有关负责人。</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Cs/>
          <w:kern w:val="2"/>
          <w:sz w:val="32"/>
          <w:szCs w:val="32"/>
          <w:lang w:val="en-US" w:bidi="ar-SA"/>
        </w:rPr>
      </w:pPr>
      <w:r>
        <w:rPr>
          <w:rFonts w:hint="eastAsia" w:ascii="Times New Roman" w:hAnsi="Times New Roman" w:eastAsia="仿宋" w:cs="Times New Roman"/>
          <w:b w:val="0"/>
          <w:bCs/>
          <w:kern w:val="2"/>
          <w:sz w:val="32"/>
          <w:szCs w:val="32"/>
          <w:lang w:val="en-US" w:eastAsia="zh-CN" w:bidi="ar-SA"/>
        </w:rPr>
        <w:t>2.</w:t>
      </w:r>
      <w:r>
        <w:rPr>
          <w:rFonts w:hint="eastAsia"/>
          <w:bCs/>
          <w:sz w:val="32"/>
          <w:szCs w:val="32"/>
        </w:rPr>
        <w:t>根据疫情防控管理要求，本期培训班限报</w:t>
      </w:r>
      <w:r>
        <w:rPr>
          <w:rFonts w:hint="eastAsia" w:ascii="Times New Roman" w:hAnsi="Times New Roman" w:eastAsia="仿宋" w:cs="Times New Roman"/>
          <w:b w:val="0"/>
          <w:bCs/>
          <w:kern w:val="2"/>
          <w:sz w:val="32"/>
          <w:szCs w:val="32"/>
          <w:lang w:val="en-US" w:eastAsia="zh-CN" w:bidi="ar-SA"/>
        </w:rPr>
        <w:t>299</w:t>
      </w:r>
      <w:r>
        <w:rPr>
          <w:rFonts w:hint="eastAsia"/>
          <w:bCs/>
          <w:sz w:val="32"/>
          <w:szCs w:val="32"/>
        </w:rPr>
        <w:t>人，按报名先后顺序确定。</w:t>
      </w:r>
    </w:p>
    <w:p>
      <w:pPr>
        <w:pStyle w:val="2"/>
        <w:keepNext w:val="0"/>
        <w:keepLines w:val="0"/>
        <w:pageBreakBefore w:val="0"/>
        <w:widowControl w:val="0"/>
        <w:kinsoku/>
        <w:wordWrap/>
        <w:topLinePunct w:val="0"/>
        <w:autoSpaceDE/>
        <w:autoSpaceDN/>
        <w:bidi w:val="0"/>
        <w:adjustRightInd w:val="0"/>
        <w:snapToGrid w:val="0"/>
        <w:spacing w:line="360" w:lineRule="auto"/>
        <w:ind w:left="0" w:leftChars="0" w:right="0" w:firstLine="643" w:firstLineChars="200"/>
        <w:textAlignment w:val="auto"/>
        <w:rPr>
          <w:bCs w:val="0"/>
          <w:kern w:val="2"/>
          <w:sz w:val="32"/>
          <w:szCs w:val="32"/>
          <w:lang w:val="en-US" w:bidi="ar-SA"/>
        </w:rPr>
      </w:pPr>
      <w:r>
        <w:rPr>
          <w:rFonts w:hint="eastAsia"/>
          <w:bCs w:val="0"/>
          <w:kern w:val="2"/>
          <w:sz w:val="32"/>
          <w:szCs w:val="32"/>
          <w:lang w:val="en-US" w:bidi="ar-SA"/>
        </w:rPr>
        <w:t>五、培训主要内容</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Cs/>
          <w:sz w:val="32"/>
          <w:szCs w:val="32"/>
        </w:rPr>
      </w:pPr>
      <w:r>
        <w:rPr>
          <w:rFonts w:hint="eastAsia" w:ascii="Times New Roman" w:hAnsi="Times New Roman" w:eastAsia="仿宋" w:cs="Times New Roman"/>
          <w:b w:val="0"/>
          <w:bCs/>
          <w:kern w:val="2"/>
          <w:sz w:val="32"/>
          <w:szCs w:val="32"/>
          <w:lang w:val="en-US" w:eastAsia="zh-CN" w:bidi="ar-SA"/>
        </w:rPr>
        <w:t>1</w:t>
      </w:r>
      <w:r>
        <w:rPr>
          <w:rFonts w:hint="eastAsia"/>
          <w:bCs/>
          <w:sz w:val="32"/>
          <w:szCs w:val="32"/>
        </w:rPr>
        <w:t>.</w:t>
      </w:r>
      <w:r>
        <w:rPr>
          <w:rFonts w:hint="eastAsia"/>
          <w:bCs/>
          <w:sz w:val="32"/>
          <w:szCs w:val="32"/>
          <w:lang w:val="en-US"/>
        </w:rPr>
        <w:t>推动民办教育新法新政落地落实。解读民办学校分类登记管理的深层原因与时代必然性</w:t>
      </w:r>
      <w:r>
        <w:rPr>
          <w:bCs/>
          <w:sz w:val="32"/>
          <w:szCs w:val="32"/>
        </w:rPr>
        <w:t>，</w:t>
      </w:r>
      <w:r>
        <w:rPr>
          <w:rFonts w:hint="eastAsia"/>
          <w:bCs/>
          <w:sz w:val="32"/>
          <w:szCs w:val="32"/>
          <w:lang w:val="en-US"/>
        </w:rPr>
        <w:t>结合人口发展</w:t>
      </w:r>
      <w:r>
        <w:rPr>
          <w:bCs/>
          <w:sz w:val="32"/>
          <w:szCs w:val="32"/>
        </w:rPr>
        <w:t>、</w:t>
      </w:r>
      <w:r>
        <w:rPr>
          <w:rFonts w:hint="eastAsia"/>
          <w:bCs/>
          <w:sz w:val="32"/>
          <w:szCs w:val="32"/>
          <w:lang w:val="en-US"/>
        </w:rPr>
        <w:t>重点产业转型升级</w:t>
      </w:r>
      <w:r>
        <w:rPr>
          <w:bCs/>
          <w:sz w:val="32"/>
          <w:szCs w:val="32"/>
        </w:rPr>
        <w:t>、</w:t>
      </w:r>
      <w:r>
        <w:rPr>
          <w:rFonts w:hint="eastAsia"/>
          <w:bCs/>
          <w:sz w:val="32"/>
          <w:szCs w:val="32"/>
          <w:lang w:val="en-US"/>
        </w:rPr>
        <w:t>平安中国</w:t>
      </w:r>
      <w:r>
        <w:rPr>
          <w:bCs/>
          <w:sz w:val="32"/>
          <w:szCs w:val="32"/>
        </w:rPr>
        <w:t>、</w:t>
      </w:r>
      <w:r>
        <w:rPr>
          <w:rFonts w:hint="eastAsia"/>
          <w:bCs/>
          <w:sz w:val="32"/>
          <w:szCs w:val="32"/>
          <w:lang w:val="en-US"/>
        </w:rPr>
        <w:t>行业治理等相关国家宏观政策分析民办教育未来发展趋势与民办教育发展新增长点</w:t>
      </w:r>
      <w:r>
        <w:rPr>
          <w:bCs/>
          <w:sz w:val="32"/>
          <w:szCs w:val="32"/>
        </w:rPr>
        <w:t>，</w:t>
      </w:r>
      <w:r>
        <w:rPr>
          <w:rFonts w:hint="eastAsia"/>
          <w:bCs/>
          <w:sz w:val="32"/>
          <w:szCs w:val="32"/>
          <w:lang w:val="en-US"/>
        </w:rPr>
        <w:t>助力民办学校举办者</w:t>
      </w:r>
      <w:r>
        <w:rPr>
          <w:bCs/>
          <w:sz w:val="32"/>
          <w:szCs w:val="32"/>
        </w:rPr>
        <w:t>、</w:t>
      </w:r>
      <w:r>
        <w:rPr>
          <w:rFonts w:hint="eastAsia"/>
          <w:bCs/>
          <w:sz w:val="32"/>
          <w:szCs w:val="32"/>
          <w:lang w:val="en-US"/>
        </w:rPr>
        <w:t>投资人在“赛道”选择与分类登记过程中准确把握方向与科学决策</w:t>
      </w:r>
      <w:r>
        <w:rPr>
          <w:bCs/>
          <w:sz w:val="32"/>
          <w:szCs w:val="32"/>
        </w:rPr>
        <w:t>。</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Cs/>
          <w:sz w:val="32"/>
          <w:szCs w:val="32"/>
        </w:rPr>
      </w:pPr>
      <w:r>
        <w:rPr>
          <w:rFonts w:hint="eastAsia" w:ascii="Times New Roman" w:hAnsi="Times New Roman" w:eastAsia="仿宋" w:cs="Times New Roman"/>
          <w:b w:val="0"/>
          <w:bCs/>
          <w:kern w:val="2"/>
          <w:sz w:val="32"/>
          <w:szCs w:val="32"/>
          <w:lang w:val="en-US" w:eastAsia="zh-CN" w:bidi="ar-SA"/>
        </w:rPr>
        <w:t>2.</w:t>
      </w:r>
      <w:r>
        <w:rPr>
          <w:rFonts w:hint="eastAsia"/>
          <w:bCs/>
          <w:sz w:val="32"/>
          <w:szCs w:val="32"/>
        </w:rPr>
        <w:t>分类登记与</w:t>
      </w:r>
      <w:r>
        <w:rPr>
          <w:rFonts w:hint="eastAsia"/>
          <w:bCs/>
          <w:sz w:val="32"/>
          <w:szCs w:val="32"/>
          <w:lang w:val="en-US"/>
        </w:rPr>
        <w:t>民办学校财、税、法工作合规要点。重点分析分类管理过程中“捐资办学”的法律性质</w:t>
      </w:r>
      <w:r>
        <w:rPr>
          <w:bCs/>
          <w:sz w:val="32"/>
          <w:szCs w:val="32"/>
        </w:rPr>
        <w:t>，</w:t>
      </w:r>
      <w:r>
        <w:rPr>
          <w:rFonts w:hint="eastAsia"/>
          <w:bCs/>
          <w:sz w:val="32"/>
          <w:szCs w:val="32"/>
          <w:lang w:val="en-US"/>
        </w:rPr>
        <w:t>探讨民办学校出资者权益保障及资产安全等问题</w:t>
      </w:r>
      <w:r>
        <w:rPr>
          <w:bCs/>
          <w:sz w:val="32"/>
          <w:szCs w:val="32"/>
        </w:rPr>
        <w:t>；</w:t>
      </w:r>
      <w:r>
        <w:rPr>
          <w:rFonts w:hint="eastAsia"/>
          <w:bCs/>
          <w:sz w:val="32"/>
          <w:szCs w:val="32"/>
          <w:lang w:val="en-US"/>
        </w:rPr>
        <w:t>剖析民办学校原主体注销过程中涉及税收征缴问题与沟通技巧</w:t>
      </w:r>
      <w:r>
        <w:rPr>
          <w:bCs/>
          <w:sz w:val="32"/>
          <w:szCs w:val="32"/>
        </w:rPr>
        <w:t>；</w:t>
      </w:r>
      <w:r>
        <w:rPr>
          <w:rFonts w:hint="eastAsia"/>
          <w:bCs/>
          <w:sz w:val="32"/>
          <w:szCs w:val="32"/>
          <w:lang w:val="en-US"/>
        </w:rPr>
        <w:t>深入解读“以数治税”背景下民办学校的税务稽查重点与分类登记后民办学校实现税费目标的配套税收优惠政策及合法路径</w:t>
      </w:r>
      <w:r>
        <w:rPr>
          <w:bCs/>
          <w:sz w:val="32"/>
          <w:szCs w:val="32"/>
        </w:rPr>
        <w:t>。</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
          <w:bCs/>
          <w:sz w:val="32"/>
          <w:szCs w:val="32"/>
          <w:lang w:val="en-US"/>
        </w:rPr>
      </w:pPr>
      <w:r>
        <w:rPr>
          <w:rFonts w:hint="eastAsia" w:ascii="Times New Roman" w:hAnsi="Times New Roman" w:eastAsia="仿宋" w:cs="Times New Roman"/>
          <w:b w:val="0"/>
          <w:bCs/>
          <w:kern w:val="2"/>
          <w:sz w:val="32"/>
          <w:szCs w:val="32"/>
          <w:lang w:val="en-US" w:eastAsia="zh-CN" w:bidi="ar-SA"/>
        </w:rPr>
        <w:t>3</w:t>
      </w:r>
      <w:r>
        <w:rPr>
          <w:rFonts w:hint="eastAsia"/>
          <w:bCs/>
          <w:sz w:val="32"/>
          <w:szCs w:val="32"/>
        </w:rPr>
        <w:t>.分类登记与</w:t>
      </w:r>
      <w:r>
        <w:rPr>
          <w:rFonts w:hint="eastAsia"/>
          <w:bCs/>
          <w:sz w:val="32"/>
          <w:szCs w:val="32"/>
          <w:lang w:val="en-US"/>
        </w:rPr>
        <w:t>民办学校相关法律风险预防及化解。剖析民办学校土地性质</w:t>
      </w:r>
      <w:r>
        <w:rPr>
          <w:bCs/>
          <w:sz w:val="32"/>
          <w:szCs w:val="32"/>
        </w:rPr>
        <w:t>、</w:t>
      </w:r>
      <w:r>
        <w:rPr>
          <w:rFonts w:hint="eastAsia"/>
          <w:bCs/>
          <w:sz w:val="32"/>
          <w:szCs w:val="32"/>
          <w:lang w:val="en-US"/>
        </w:rPr>
        <w:t>筹措资金</w:t>
      </w:r>
      <w:r>
        <w:rPr>
          <w:bCs/>
          <w:sz w:val="32"/>
          <w:szCs w:val="32"/>
        </w:rPr>
        <w:t>、</w:t>
      </w:r>
      <w:r>
        <w:rPr>
          <w:rFonts w:hint="eastAsia"/>
          <w:bCs/>
          <w:sz w:val="32"/>
          <w:szCs w:val="32"/>
          <w:lang w:val="en-US"/>
        </w:rPr>
        <w:t>并购收购中常见的法律风险</w:t>
      </w:r>
      <w:r>
        <w:rPr>
          <w:bCs/>
          <w:sz w:val="32"/>
          <w:szCs w:val="32"/>
        </w:rPr>
        <w:t>。</w:t>
      </w:r>
      <w:r>
        <w:rPr>
          <w:rFonts w:hint="eastAsia"/>
          <w:bCs/>
          <w:sz w:val="32"/>
          <w:szCs w:val="32"/>
          <w:lang w:val="en-US"/>
        </w:rPr>
        <w:t>解读划拨用地办营利性学校</w:t>
      </w:r>
      <w:r>
        <w:rPr>
          <w:bCs/>
          <w:sz w:val="32"/>
          <w:szCs w:val="32"/>
        </w:rPr>
        <w:t>、</w:t>
      </w:r>
      <w:r>
        <w:rPr>
          <w:rFonts w:hint="eastAsia"/>
          <w:bCs/>
          <w:sz w:val="32"/>
          <w:szCs w:val="32"/>
          <w:lang w:val="en-US"/>
        </w:rPr>
        <w:t>工业用地办学的法律风险与化解方法</w:t>
      </w:r>
      <w:r>
        <w:rPr>
          <w:bCs/>
          <w:sz w:val="32"/>
          <w:szCs w:val="32"/>
        </w:rPr>
        <w:t>；</w:t>
      </w:r>
      <w:r>
        <w:rPr>
          <w:rFonts w:hint="eastAsia"/>
          <w:bCs/>
          <w:sz w:val="32"/>
          <w:szCs w:val="32"/>
          <w:lang w:val="en-US"/>
        </w:rPr>
        <w:t>解读民办学校大量民间借贷所产生的严重刑事风险及化解方法</w:t>
      </w:r>
      <w:r>
        <w:rPr>
          <w:bCs/>
          <w:sz w:val="32"/>
          <w:szCs w:val="32"/>
        </w:rPr>
        <w:t>；</w:t>
      </w:r>
      <w:r>
        <w:rPr>
          <w:rFonts w:hint="eastAsia"/>
          <w:bCs/>
          <w:sz w:val="32"/>
          <w:szCs w:val="32"/>
          <w:lang w:val="en-US"/>
        </w:rPr>
        <w:t>解读民办学校并购收购中法定代表人</w:t>
      </w:r>
      <w:r>
        <w:rPr>
          <w:bCs/>
          <w:sz w:val="32"/>
          <w:szCs w:val="32"/>
        </w:rPr>
        <w:t>、</w:t>
      </w:r>
      <w:r>
        <w:rPr>
          <w:rFonts w:hint="eastAsia"/>
          <w:bCs/>
          <w:sz w:val="32"/>
          <w:szCs w:val="32"/>
          <w:lang w:val="en-US"/>
        </w:rPr>
        <w:t>举办者变更常见风险及化解方法</w:t>
      </w:r>
      <w:r>
        <w:rPr>
          <w:bCs/>
          <w:sz w:val="32"/>
          <w:szCs w:val="32"/>
        </w:rPr>
        <w:t>。</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bCs/>
          <w:sz w:val="32"/>
          <w:szCs w:val="32"/>
          <w:lang w:val="en-US"/>
        </w:rPr>
      </w:pPr>
      <w:r>
        <w:rPr>
          <w:rFonts w:hint="eastAsia" w:ascii="Times New Roman" w:hAnsi="Times New Roman" w:eastAsia="仿宋" w:cs="Times New Roman"/>
          <w:b w:val="0"/>
          <w:bCs/>
          <w:kern w:val="2"/>
          <w:sz w:val="32"/>
          <w:szCs w:val="32"/>
          <w:lang w:val="en-US" w:eastAsia="zh-CN" w:bidi="ar-SA"/>
        </w:rPr>
        <w:t>4</w:t>
      </w:r>
      <w:r>
        <w:rPr>
          <w:rFonts w:hint="eastAsia"/>
          <w:bCs/>
          <w:sz w:val="32"/>
          <w:szCs w:val="32"/>
        </w:rPr>
        <w:t>.</w:t>
      </w:r>
      <w:r>
        <w:rPr>
          <w:rFonts w:hint="eastAsia"/>
          <w:bCs/>
          <w:sz w:val="32"/>
          <w:szCs w:val="32"/>
          <w:lang w:val="en-US"/>
        </w:rPr>
        <w:t>湖南省民办中小学收费管理最新政策解读。将我省现有民办学校教育收费管理政策进行梳理，结合民办学校生均教育培养成本、学校实际管理费用、合理回报率等实际问题，解读文件，剖析难点，提出思路。</w:t>
      </w:r>
    </w:p>
    <w:p>
      <w:pPr>
        <w:pStyle w:val="2"/>
        <w:keepNext w:val="0"/>
        <w:keepLines w:val="0"/>
        <w:pageBreakBefore w:val="0"/>
        <w:widowControl w:val="0"/>
        <w:kinsoku/>
        <w:wordWrap/>
        <w:topLinePunct w:val="0"/>
        <w:autoSpaceDE/>
        <w:autoSpaceDN/>
        <w:bidi w:val="0"/>
        <w:adjustRightInd w:val="0"/>
        <w:snapToGrid w:val="0"/>
        <w:spacing w:line="360" w:lineRule="auto"/>
        <w:ind w:left="0" w:leftChars="0" w:right="0" w:firstLine="643" w:firstLineChars="200"/>
        <w:textAlignment w:val="auto"/>
        <w:rPr>
          <w:bCs w:val="0"/>
          <w:kern w:val="2"/>
          <w:sz w:val="32"/>
          <w:szCs w:val="32"/>
          <w:lang w:val="en-US" w:bidi="ar-SA"/>
        </w:rPr>
      </w:pPr>
      <w:r>
        <w:rPr>
          <w:rFonts w:hint="eastAsia"/>
          <w:bCs w:val="0"/>
          <w:kern w:val="2"/>
          <w:sz w:val="32"/>
          <w:szCs w:val="32"/>
          <w:lang w:val="en-US" w:bidi="ar-SA"/>
        </w:rPr>
        <w:t>六、授课专家库（共4场讲座，以实际安排为准）</w:t>
      </w:r>
    </w:p>
    <w:p>
      <w:pPr>
        <w:keepNext w:val="0"/>
        <w:keepLines w:val="0"/>
        <w:pageBreakBefore w:val="0"/>
        <w:widowControl w:val="0"/>
        <w:kinsoku/>
        <w:wordWrap/>
        <w:overflowPunct w:val="0"/>
        <w:topLinePunct w:val="0"/>
        <w:bidi w:val="0"/>
        <w:adjustRightInd w:val="0"/>
        <w:snapToGrid w:val="0"/>
        <w:spacing w:line="360" w:lineRule="auto"/>
        <w:ind w:left="0" w:leftChars="0" w:right="0" w:firstLine="640" w:firstLineChars="200"/>
        <w:textAlignment w:val="auto"/>
        <w:rPr>
          <w:color w:val="000000" w:themeColor="text1"/>
          <w:sz w:val="32"/>
          <w:szCs w:val="32"/>
        </w:rPr>
      </w:pPr>
      <w:r>
        <w:rPr>
          <w:rFonts w:hint="eastAsia" w:ascii="Times New Roman" w:hAnsi="Times New Roman" w:eastAsia="仿宋" w:cs="Times New Roman"/>
          <w:b w:val="0"/>
          <w:bCs/>
          <w:kern w:val="2"/>
          <w:sz w:val="32"/>
          <w:szCs w:val="32"/>
          <w:lang w:val="en-US" w:eastAsia="zh-CN" w:bidi="ar-SA"/>
        </w:rPr>
        <w:t>1.</w:t>
      </w:r>
      <w:r>
        <w:rPr>
          <w:rFonts w:hint="eastAsia"/>
          <w:color w:val="000000" w:themeColor="text1"/>
          <w:sz w:val="32"/>
          <w:szCs w:val="32"/>
        </w:rPr>
        <w:t>张海丽：</w:t>
      </w:r>
      <w:r>
        <w:rPr>
          <w:color w:val="000000" w:themeColor="text1"/>
          <w:sz w:val="32"/>
          <w:szCs w:val="32"/>
        </w:rPr>
        <w:t>注册会计师、注册税务师，现为</w:t>
      </w:r>
      <w:r>
        <w:rPr>
          <w:rFonts w:hint="eastAsia"/>
          <w:color w:val="000000" w:themeColor="text1"/>
          <w:sz w:val="32"/>
          <w:szCs w:val="32"/>
        </w:rPr>
        <w:t>上市公司财务总监，</w:t>
      </w:r>
      <w:r>
        <w:rPr>
          <w:rFonts w:hint="eastAsia"/>
          <w:color w:val="000000" w:themeColor="text1"/>
          <w:sz w:val="32"/>
          <w:szCs w:val="32"/>
          <w:lang w:val="en-US"/>
        </w:rPr>
        <w:t>曾长期任职</w:t>
      </w:r>
      <w:r>
        <w:rPr>
          <w:color w:val="000000" w:themeColor="text1"/>
          <w:sz w:val="32"/>
          <w:szCs w:val="32"/>
        </w:rPr>
        <w:t>全球500强企业财税部门，</w:t>
      </w:r>
      <w:r>
        <w:rPr>
          <w:rFonts w:hint="eastAsia"/>
          <w:color w:val="000000" w:themeColor="text1"/>
          <w:sz w:val="32"/>
          <w:szCs w:val="32"/>
          <w:lang w:val="en-US"/>
        </w:rPr>
        <w:t>具备</w:t>
      </w:r>
      <w:r>
        <w:rPr>
          <w:color w:val="000000" w:themeColor="text1"/>
          <w:sz w:val="32"/>
          <w:szCs w:val="32"/>
        </w:rPr>
        <w:t>多年</w:t>
      </w:r>
      <w:r>
        <w:rPr>
          <w:rFonts w:hint="eastAsia"/>
          <w:color w:val="000000" w:themeColor="text1"/>
          <w:sz w:val="32"/>
          <w:szCs w:val="32"/>
          <w:lang w:val="en-US"/>
        </w:rPr>
        <w:t>实务</w:t>
      </w:r>
      <w:r>
        <w:rPr>
          <w:color w:val="000000" w:themeColor="text1"/>
          <w:sz w:val="32"/>
          <w:szCs w:val="32"/>
        </w:rPr>
        <w:t>经验，对碧桂园集团教育板块（博实乐教育控股）财务、税务、法律有</w:t>
      </w:r>
      <w:r>
        <w:rPr>
          <w:rFonts w:hint="eastAsia"/>
          <w:color w:val="000000" w:themeColor="text1"/>
          <w:sz w:val="32"/>
          <w:szCs w:val="32"/>
          <w:lang w:val="en-US"/>
        </w:rPr>
        <w:t>着</w:t>
      </w:r>
      <w:r>
        <w:rPr>
          <w:color w:val="000000" w:themeColor="text1"/>
          <w:sz w:val="32"/>
          <w:szCs w:val="32"/>
        </w:rPr>
        <w:t>深刻理解。</w:t>
      </w:r>
    </w:p>
    <w:p>
      <w:pPr>
        <w:keepNext w:val="0"/>
        <w:keepLines w:val="0"/>
        <w:pageBreakBefore w:val="0"/>
        <w:widowControl w:val="0"/>
        <w:kinsoku/>
        <w:wordWrap/>
        <w:overflowPunct w:val="0"/>
        <w:topLinePunct w:val="0"/>
        <w:bidi w:val="0"/>
        <w:adjustRightInd w:val="0"/>
        <w:snapToGrid w:val="0"/>
        <w:spacing w:line="360" w:lineRule="auto"/>
        <w:ind w:left="0" w:leftChars="0" w:right="0" w:firstLine="640" w:firstLineChars="200"/>
        <w:textAlignment w:val="auto"/>
        <w:rPr>
          <w:color w:val="000000" w:themeColor="text1"/>
          <w:sz w:val="32"/>
          <w:szCs w:val="32"/>
        </w:rPr>
      </w:pPr>
      <w:r>
        <w:rPr>
          <w:rFonts w:hint="eastAsia" w:ascii="Times New Roman" w:hAnsi="Times New Roman" w:eastAsia="仿宋" w:cs="Times New Roman"/>
          <w:b w:val="0"/>
          <w:bCs/>
          <w:kern w:val="2"/>
          <w:sz w:val="32"/>
          <w:szCs w:val="32"/>
          <w:lang w:val="en-US" w:eastAsia="zh-CN" w:bidi="ar-SA"/>
        </w:rPr>
        <w:t>2</w:t>
      </w:r>
      <w:r>
        <w:rPr>
          <w:rFonts w:hint="eastAsia"/>
          <w:color w:val="000000" w:themeColor="text1"/>
          <w:sz w:val="32"/>
          <w:szCs w:val="32"/>
        </w:rPr>
        <w:t>.尹丽群：</w:t>
      </w:r>
      <w:r>
        <w:rPr>
          <w:rFonts w:hint="eastAsia"/>
          <w:color w:val="000000" w:themeColor="text1"/>
          <w:kern w:val="2"/>
          <w:sz w:val="32"/>
          <w:szCs w:val="32"/>
          <w:lang w:val="en-US" w:bidi="ar-SA"/>
        </w:rPr>
        <w:t>高级会计师、注册会计师，法律、会计、审计、税务和管理咨询专家。北京信实财务管理咨询有限公司高级总监</w:t>
      </w:r>
      <w:r>
        <w:rPr>
          <w:color w:val="000000" w:themeColor="text1"/>
          <w:sz w:val="32"/>
          <w:szCs w:val="32"/>
        </w:rPr>
        <w:t>，</w:t>
      </w:r>
      <w:r>
        <w:rPr>
          <w:rFonts w:hint="eastAsia"/>
          <w:color w:val="000000" w:themeColor="text1"/>
          <w:kern w:val="2"/>
          <w:sz w:val="32"/>
          <w:szCs w:val="32"/>
          <w:lang w:val="en-US" w:bidi="ar-SA"/>
        </w:rPr>
        <w:t>为多家企业提供过上市财税规范和咨询服务。</w:t>
      </w:r>
    </w:p>
    <w:p>
      <w:pPr>
        <w:keepNext w:val="0"/>
        <w:keepLines w:val="0"/>
        <w:pageBreakBefore w:val="0"/>
        <w:widowControl w:val="0"/>
        <w:kinsoku/>
        <w:wordWrap/>
        <w:overflowPunct w:val="0"/>
        <w:topLinePunct w:val="0"/>
        <w:bidi w:val="0"/>
        <w:adjustRightInd w:val="0"/>
        <w:snapToGrid w:val="0"/>
        <w:spacing w:line="360" w:lineRule="auto"/>
        <w:ind w:left="0" w:leftChars="0" w:right="0" w:firstLine="640" w:firstLineChars="200"/>
        <w:textAlignment w:val="auto"/>
        <w:rPr>
          <w:color w:val="000000" w:themeColor="text1"/>
          <w:sz w:val="32"/>
          <w:szCs w:val="32"/>
        </w:rPr>
      </w:pPr>
      <w:r>
        <w:rPr>
          <w:rFonts w:hint="eastAsia" w:ascii="Times New Roman" w:hAnsi="Times New Roman" w:eastAsia="仿宋" w:cs="Times New Roman"/>
          <w:b w:val="0"/>
          <w:bCs/>
          <w:kern w:val="2"/>
          <w:sz w:val="32"/>
          <w:szCs w:val="32"/>
          <w:lang w:val="en-US" w:eastAsia="zh-CN" w:bidi="ar-SA"/>
        </w:rPr>
        <w:t>3.</w:t>
      </w:r>
      <w:r>
        <w:rPr>
          <w:rFonts w:hint="eastAsia"/>
          <w:color w:val="000000" w:themeColor="text1"/>
          <w:sz w:val="32"/>
          <w:szCs w:val="32"/>
        </w:rPr>
        <w:t>朱礼逵</w:t>
      </w:r>
      <w:r>
        <w:rPr>
          <w:rFonts w:hint="eastAsia"/>
          <w:b/>
          <w:bCs/>
          <w:color w:val="000000" w:themeColor="text1"/>
          <w:sz w:val="32"/>
          <w:szCs w:val="32"/>
        </w:rPr>
        <w:t>：</w:t>
      </w:r>
      <w:r>
        <w:rPr>
          <w:rFonts w:hint="eastAsia"/>
          <w:color w:val="000000" w:themeColor="text1"/>
          <w:sz w:val="32"/>
          <w:szCs w:val="32"/>
        </w:rPr>
        <w:t>湖南省民办教育协会副会长</w:t>
      </w:r>
      <w:r>
        <w:rPr>
          <w:rFonts w:hint="eastAsia"/>
          <w:b/>
          <w:bCs/>
          <w:color w:val="000000" w:themeColor="text1"/>
          <w:sz w:val="32"/>
          <w:szCs w:val="32"/>
        </w:rPr>
        <w:t>、</w:t>
      </w:r>
      <w:r>
        <w:rPr>
          <w:rFonts w:hint="eastAsia"/>
          <w:color w:val="000000" w:themeColor="text1"/>
          <w:sz w:val="32"/>
          <w:szCs w:val="32"/>
        </w:rPr>
        <w:t>肃雍财税法律华南区运营总监</w:t>
      </w:r>
      <w:r>
        <w:rPr>
          <w:rFonts w:hint="eastAsia"/>
          <w:b/>
          <w:bCs/>
          <w:color w:val="000000" w:themeColor="text1"/>
          <w:sz w:val="32"/>
          <w:szCs w:val="32"/>
        </w:rPr>
        <w:t>、</w:t>
      </w:r>
      <w:r>
        <w:rPr>
          <w:rFonts w:hint="eastAsia"/>
          <w:color w:val="000000" w:themeColor="text1"/>
          <w:sz w:val="32"/>
          <w:szCs w:val="32"/>
        </w:rPr>
        <w:t>湖南豪宇律师事务所执行主任。</w:t>
      </w:r>
    </w:p>
    <w:p>
      <w:pPr>
        <w:keepNext w:val="0"/>
        <w:keepLines w:val="0"/>
        <w:pageBreakBefore w:val="0"/>
        <w:widowControl w:val="0"/>
        <w:kinsoku/>
        <w:wordWrap/>
        <w:overflowPunct w:val="0"/>
        <w:topLinePunct w:val="0"/>
        <w:bidi w:val="0"/>
        <w:adjustRightInd w:val="0"/>
        <w:snapToGrid w:val="0"/>
        <w:spacing w:line="360" w:lineRule="auto"/>
        <w:ind w:left="0" w:leftChars="0" w:right="0" w:firstLine="640" w:firstLineChars="200"/>
        <w:textAlignment w:val="auto"/>
        <w:rPr>
          <w:color w:val="000000" w:themeColor="text1"/>
          <w:sz w:val="32"/>
          <w:szCs w:val="32"/>
          <w:lang w:val="en-US"/>
        </w:rPr>
      </w:pPr>
      <w:r>
        <w:rPr>
          <w:rFonts w:hint="eastAsia" w:ascii="Times New Roman" w:hAnsi="Times New Roman" w:eastAsia="仿宋" w:cs="Times New Roman"/>
          <w:b w:val="0"/>
          <w:bCs/>
          <w:kern w:val="2"/>
          <w:sz w:val="32"/>
          <w:szCs w:val="32"/>
          <w:lang w:val="en-US" w:eastAsia="zh-CN" w:bidi="ar-SA"/>
        </w:rPr>
        <w:t>4</w:t>
      </w:r>
      <w:r>
        <w:rPr>
          <w:rFonts w:hint="eastAsia"/>
          <w:color w:val="000000" w:themeColor="text1"/>
          <w:sz w:val="32"/>
          <w:szCs w:val="32"/>
        </w:rPr>
        <w:t>.文建：</w:t>
      </w:r>
      <w:r>
        <w:rPr>
          <w:color w:val="000000" w:themeColor="text1"/>
          <w:sz w:val="32"/>
          <w:szCs w:val="32"/>
        </w:rPr>
        <w:t>湖南中天信恒会计师事务所</w:t>
      </w:r>
      <w:r>
        <w:rPr>
          <w:rFonts w:hint="eastAsia"/>
          <w:color w:val="000000" w:themeColor="text1"/>
          <w:sz w:val="32"/>
          <w:szCs w:val="32"/>
        </w:rPr>
        <w:t>主任、</w:t>
      </w:r>
      <w:r>
        <w:rPr>
          <w:color w:val="000000" w:themeColor="text1"/>
          <w:sz w:val="32"/>
          <w:szCs w:val="32"/>
        </w:rPr>
        <w:t>湖南省科技厅评审专家、长沙市科技局评审专家。</w:t>
      </w:r>
    </w:p>
    <w:p>
      <w:pPr>
        <w:keepNext w:val="0"/>
        <w:keepLines w:val="0"/>
        <w:pageBreakBefore w:val="0"/>
        <w:widowControl w:val="0"/>
        <w:kinsoku/>
        <w:wordWrap/>
        <w:topLinePunct w:val="0"/>
        <w:bidi w:val="0"/>
        <w:adjustRightInd w:val="0"/>
        <w:snapToGrid w:val="0"/>
        <w:spacing w:line="360" w:lineRule="auto"/>
        <w:ind w:left="0" w:leftChars="0" w:right="0" w:firstLine="643" w:firstLineChars="200"/>
        <w:textAlignment w:val="auto"/>
        <w:outlineLvl w:val="0"/>
        <w:rPr>
          <w:b/>
          <w:color w:val="000000"/>
          <w:sz w:val="32"/>
          <w:szCs w:val="32"/>
        </w:rPr>
      </w:pPr>
      <w:r>
        <w:rPr>
          <w:rFonts w:hint="eastAsia"/>
          <w:b/>
          <w:kern w:val="2"/>
          <w:sz w:val="32"/>
          <w:szCs w:val="32"/>
          <w:lang w:val="en-US"/>
        </w:rPr>
        <w:t>七、</w:t>
      </w:r>
      <w:r>
        <w:rPr>
          <w:rFonts w:hint="eastAsia"/>
          <w:b/>
          <w:color w:val="000000"/>
          <w:sz w:val="32"/>
          <w:szCs w:val="32"/>
        </w:rPr>
        <w:t>疫情防控措施</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sz w:val="32"/>
          <w:szCs w:val="32"/>
        </w:rPr>
      </w:pPr>
      <w:r>
        <w:rPr>
          <w:rFonts w:hint="eastAsia" w:ascii="Times New Roman" w:hAnsi="Times New Roman" w:eastAsia="仿宋" w:cs="Times New Roman"/>
          <w:b w:val="0"/>
          <w:bCs/>
          <w:kern w:val="2"/>
          <w:sz w:val="32"/>
          <w:szCs w:val="32"/>
          <w:lang w:val="en-US" w:eastAsia="zh-CN" w:bidi="ar-SA"/>
        </w:rPr>
        <w:t>1.所有参会者报到时向会务组提交个人健康码、行程码及48小</w:t>
      </w:r>
      <w:r>
        <w:rPr>
          <w:rFonts w:hint="eastAsia"/>
          <w:sz w:val="32"/>
          <w:szCs w:val="32"/>
        </w:rPr>
        <w:t>时核酸检测结果；</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sz w:val="32"/>
          <w:szCs w:val="32"/>
        </w:rPr>
      </w:pPr>
      <w:r>
        <w:rPr>
          <w:rFonts w:hint="eastAsia" w:ascii="Times New Roman" w:hAnsi="Times New Roman" w:eastAsia="仿宋" w:cs="Times New Roman"/>
          <w:b w:val="0"/>
          <w:bCs/>
          <w:kern w:val="2"/>
          <w:sz w:val="32"/>
          <w:szCs w:val="32"/>
          <w:lang w:val="en-US" w:eastAsia="zh-CN" w:bidi="ar-SA"/>
        </w:rPr>
        <w:t>2.</w:t>
      </w:r>
      <w:r>
        <w:rPr>
          <w:rFonts w:hint="eastAsia"/>
          <w:sz w:val="32"/>
          <w:szCs w:val="32"/>
        </w:rPr>
        <w:t>报到时应佩戴好口罩，会务组将由专人测量体温，做好登记。凡体温异常者，将上报专业定点医疗机构进行及时观察处理；</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sz w:val="32"/>
          <w:szCs w:val="32"/>
        </w:rPr>
      </w:pPr>
      <w:r>
        <w:rPr>
          <w:rFonts w:hint="eastAsia" w:ascii="Times New Roman" w:hAnsi="Times New Roman" w:eastAsia="仿宋" w:cs="Times New Roman"/>
          <w:b w:val="0"/>
          <w:bCs/>
          <w:kern w:val="2"/>
          <w:sz w:val="32"/>
          <w:szCs w:val="32"/>
          <w:lang w:val="en-US" w:eastAsia="zh-CN" w:bidi="ar-SA"/>
        </w:rPr>
        <w:t>3</w:t>
      </w:r>
      <w:r>
        <w:rPr>
          <w:rFonts w:hint="eastAsia"/>
          <w:sz w:val="32"/>
          <w:szCs w:val="32"/>
        </w:rPr>
        <w:t>.近期有中高风险地区旅居史人员及已公布的病例轨迹有交集人员，请勿参会。</w:t>
      </w:r>
    </w:p>
    <w:p>
      <w:pPr>
        <w:pStyle w:val="2"/>
        <w:keepNext w:val="0"/>
        <w:keepLines w:val="0"/>
        <w:pageBreakBefore w:val="0"/>
        <w:widowControl w:val="0"/>
        <w:kinsoku/>
        <w:wordWrap/>
        <w:topLinePunct w:val="0"/>
        <w:bidi w:val="0"/>
        <w:adjustRightInd w:val="0"/>
        <w:snapToGrid w:val="0"/>
        <w:spacing w:line="360" w:lineRule="auto"/>
        <w:ind w:left="0" w:leftChars="0" w:right="0" w:firstLine="643" w:firstLineChars="200"/>
        <w:textAlignment w:val="auto"/>
        <w:rPr>
          <w:kern w:val="2"/>
          <w:sz w:val="32"/>
          <w:szCs w:val="32"/>
        </w:rPr>
      </w:pPr>
      <w:r>
        <w:rPr>
          <w:kern w:val="2"/>
          <w:sz w:val="32"/>
          <w:szCs w:val="32"/>
        </w:rPr>
        <w:t>八、相关事项</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1.报名方式：请参加培训的会员单位于2022年9月23日前将参会人员报名回执表发至邮箱safeyong@163.com。</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2.温馨提示</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fldChar w:fldCharType="begin"/>
      </w:r>
      <w:r>
        <w:rPr>
          <w:rFonts w:hint="eastAsia" w:ascii="Times New Roman" w:hAnsi="Times New Roman" w:eastAsia="仿宋" w:cs="Times New Roman"/>
          <w:b w:val="0"/>
          <w:bCs/>
          <w:kern w:val="2"/>
          <w:sz w:val="32"/>
          <w:szCs w:val="32"/>
          <w:lang w:val="en-US" w:eastAsia="zh-CN" w:bidi="ar-SA"/>
        </w:rPr>
        <w:instrText xml:space="preserve"> = 1 \* GB3 </w:instrText>
      </w:r>
      <w:r>
        <w:rPr>
          <w:rFonts w:hint="eastAsia" w:ascii="Times New Roman" w:hAnsi="Times New Roman" w:eastAsia="仿宋" w:cs="Times New Roman"/>
          <w:b w:val="0"/>
          <w:bCs/>
          <w:kern w:val="2"/>
          <w:sz w:val="32"/>
          <w:szCs w:val="32"/>
          <w:lang w:val="en-US" w:eastAsia="zh-CN" w:bidi="ar-SA"/>
        </w:rPr>
        <w:fldChar w:fldCharType="separate"/>
      </w:r>
      <w:r>
        <w:rPr>
          <w:rFonts w:hint="eastAsia" w:ascii="Times New Roman" w:hAnsi="Times New Roman" w:eastAsia="仿宋" w:cs="Times New Roman"/>
          <w:b w:val="0"/>
          <w:bCs/>
          <w:kern w:val="2"/>
          <w:sz w:val="32"/>
          <w:szCs w:val="32"/>
          <w:lang w:val="en-US" w:eastAsia="zh-CN" w:bidi="ar-SA"/>
        </w:rPr>
        <w:t>①</w:t>
      </w:r>
      <w:r>
        <w:rPr>
          <w:rFonts w:hint="eastAsia" w:ascii="Times New Roman" w:hAnsi="Times New Roman" w:eastAsia="仿宋" w:cs="Times New Roman"/>
          <w:b w:val="0"/>
          <w:bCs/>
          <w:kern w:val="2"/>
          <w:sz w:val="32"/>
          <w:szCs w:val="32"/>
          <w:lang w:val="en-US" w:eastAsia="zh-CN" w:bidi="ar-SA"/>
        </w:rPr>
        <w:fldChar w:fldCharType="end"/>
      </w:r>
      <w:r>
        <w:rPr>
          <w:rFonts w:hint="eastAsia" w:ascii="Times New Roman" w:hAnsi="Times New Roman" w:eastAsia="仿宋" w:cs="Times New Roman"/>
          <w:b w:val="0"/>
          <w:bCs/>
          <w:kern w:val="2"/>
          <w:sz w:val="32"/>
          <w:szCs w:val="32"/>
          <w:lang w:val="en-US" w:eastAsia="zh-CN" w:bidi="ar-SA"/>
        </w:rPr>
        <w:t>本次培训不收取任何费用。</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fldChar w:fldCharType="begin"/>
      </w:r>
      <w:r>
        <w:rPr>
          <w:rFonts w:hint="eastAsia" w:ascii="Times New Roman" w:hAnsi="Times New Roman" w:eastAsia="仿宋" w:cs="Times New Roman"/>
          <w:b w:val="0"/>
          <w:bCs/>
          <w:kern w:val="2"/>
          <w:sz w:val="32"/>
          <w:szCs w:val="32"/>
          <w:lang w:val="en-US" w:eastAsia="zh-CN" w:bidi="ar-SA"/>
        </w:rPr>
        <w:instrText xml:space="preserve"> = 2 \* GB3 </w:instrText>
      </w:r>
      <w:r>
        <w:rPr>
          <w:rFonts w:hint="eastAsia" w:ascii="Times New Roman" w:hAnsi="Times New Roman" w:eastAsia="仿宋" w:cs="Times New Roman"/>
          <w:b w:val="0"/>
          <w:bCs/>
          <w:kern w:val="2"/>
          <w:sz w:val="32"/>
          <w:szCs w:val="32"/>
          <w:lang w:val="en-US" w:eastAsia="zh-CN" w:bidi="ar-SA"/>
        </w:rPr>
        <w:fldChar w:fldCharType="separate"/>
      </w:r>
      <w:r>
        <w:rPr>
          <w:rFonts w:hint="eastAsia" w:ascii="Times New Roman" w:hAnsi="Times New Roman" w:eastAsia="仿宋" w:cs="Times New Roman"/>
          <w:b w:val="0"/>
          <w:bCs/>
          <w:kern w:val="2"/>
          <w:sz w:val="32"/>
          <w:szCs w:val="32"/>
          <w:lang w:val="en-US" w:eastAsia="zh-CN" w:bidi="ar-SA"/>
        </w:rPr>
        <w:t>②</w:t>
      </w:r>
      <w:r>
        <w:rPr>
          <w:rFonts w:hint="eastAsia" w:ascii="Times New Roman" w:hAnsi="Times New Roman" w:eastAsia="仿宋" w:cs="Times New Roman"/>
          <w:b w:val="0"/>
          <w:bCs/>
          <w:kern w:val="2"/>
          <w:sz w:val="32"/>
          <w:szCs w:val="32"/>
          <w:lang w:val="en-US" w:eastAsia="zh-CN" w:bidi="ar-SA"/>
        </w:rPr>
        <w:fldChar w:fldCharType="end"/>
      </w:r>
      <w:r>
        <w:rPr>
          <w:rFonts w:hint="eastAsia" w:ascii="Times New Roman" w:hAnsi="Times New Roman" w:eastAsia="仿宋" w:cs="Times New Roman"/>
          <w:b w:val="0"/>
          <w:bCs/>
          <w:kern w:val="2"/>
          <w:sz w:val="32"/>
          <w:szCs w:val="32"/>
          <w:lang w:val="en-US" w:eastAsia="zh-CN" w:bidi="ar-SA"/>
        </w:rPr>
        <w:t>会务组提供28日中餐。</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fldChar w:fldCharType="begin"/>
      </w:r>
      <w:r>
        <w:rPr>
          <w:rFonts w:hint="eastAsia" w:ascii="Times New Roman" w:hAnsi="Times New Roman" w:eastAsia="仿宋" w:cs="Times New Roman"/>
          <w:b w:val="0"/>
          <w:bCs/>
          <w:kern w:val="2"/>
          <w:sz w:val="32"/>
          <w:szCs w:val="32"/>
          <w:lang w:val="en-US" w:eastAsia="zh-CN" w:bidi="ar-SA"/>
        </w:rPr>
        <w:instrText xml:space="preserve"> = 3 \* GB3 </w:instrText>
      </w:r>
      <w:r>
        <w:rPr>
          <w:rFonts w:hint="eastAsia" w:ascii="Times New Roman" w:hAnsi="Times New Roman" w:eastAsia="仿宋" w:cs="Times New Roman"/>
          <w:b w:val="0"/>
          <w:bCs/>
          <w:kern w:val="2"/>
          <w:sz w:val="32"/>
          <w:szCs w:val="32"/>
          <w:lang w:val="en-US" w:eastAsia="zh-CN" w:bidi="ar-SA"/>
        </w:rPr>
        <w:fldChar w:fldCharType="separate"/>
      </w:r>
      <w:r>
        <w:rPr>
          <w:rFonts w:hint="eastAsia" w:ascii="Times New Roman" w:hAnsi="Times New Roman" w:eastAsia="仿宋" w:cs="Times New Roman"/>
          <w:b w:val="0"/>
          <w:bCs/>
          <w:kern w:val="2"/>
          <w:sz w:val="32"/>
          <w:szCs w:val="32"/>
          <w:lang w:val="en-US" w:eastAsia="zh-CN" w:bidi="ar-SA"/>
        </w:rPr>
        <w:t>③</w:t>
      </w:r>
      <w:r>
        <w:rPr>
          <w:rFonts w:hint="eastAsia" w:ascii="Times New Roman" w:hAnsi="Times New Roman" w:eastAsia="仿宋" w:cs="Times New Roman"/>
          <w:b w:val="0"/>
          <w:bCs/>
          <w:kern w:val="2"/>
          <w:sz w:val="32"/>
          <w:szCs w:val="32"/>
          <w:lang w:val="en-US" w:eastAsia="zh-CN" w:bidi="ar-SA"/>
        </w:rPr>
        <w:fldChar w:fldCharType="end"/>
      </w:r>
      <w:r>
        <w:rPr>
          <w:rFonts w:hint="eastAsia" w:ascii="Times New Roman" w:hAnsi="Times New Roman" w:eastAsia="仿宋" w:cs="Times New Roman"/>
          <w:b w:val="0"/>
          <w:bCs/>
          <w:kern w:val="2"/>
          <w:sz w:val="32"/>
          <w:szCs w:val="32"/>
          <w:lang w:val="en-US" w:eastAsia="zh-CN" w:bidi="ar-SA"/>
        </w:rPr>
        <w:t>参训人员往返交通和其它食宿费自理。</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outlineLvl w:val="0"/>
        <w:rPr>
          <w:sz w:val="32"/>
          <w:szCs w:val="32"/>
        </w:rPr>
      </w:pPr>
      <w:r>
        <w:rPr>
          <w:rFonts w:hint="eastAsia" w:ascii="Times New Roman" w:hAnsi="Times New Roman" w:eastAsia="仿宋" w:cs="Times New Roman"/>
          <w:b w:val="0"/>
          <w:bCs/>
          <w:kern w:val="2"/>
          <w:sz w:val="32"/>
          <w:szCs w:val="32"/>
          <w:lang w:val="en-US" w:eastAsia="zh-CN" w:bidi="ar-SA"/>
        </w:rPr>
        <w:fldChar w:fldCharType="begin"/>
      </w:r>
      <w:r>
        <w:rPr>
          <w:rFonts w:hint="eastAsia" w:ascii="Times New Roman" w:hAnsi="Times New Roman" w:eastAsia="仿宋" w:cs="Times New Roman"/>
          <w:b w:val="0"/>
          <w:bCs/>
          <w:kern w:val="2"/>
          <w:sz w:val="32"/>
          <w:szCs w:val="32"/>
          <w:lang w:val="en-US" w:eastAsia="zh-CN" w:bidi="ar-SA"/>
        </w:rPr>
        <w:instrText xml:space="preserve"> = 4 \* GB3 </w:instrText>
      </w:r>
      <w:r>
        <w:rPr>
          <w:rFonts w:hint="eastAsia" w:ascii="Times New Roman" w:hAnsi="Times New Roman" w:eastAsia="仿宋" w:cs="Times New Roman"/>
          <w:b w:val="0"/>
          <w:bCs/>
          <w:kern w:val="2"/>
          <w:sz w:val="32"/>
          <w:szCs w:val="32"/>
          <w:lang w:val="en-US" w:eastAsia="zh-CN" w:bidi="ar-SA"/>
        </w:rPr>
        <w:fldChar w:fldCharType="separate"/>
      </w:r>
      <w:r>
        <w:rPr>
          <w:rFonts w:hint="eastAsia" w:ascii="Times New Roman" w:hAnsi="Times New Roman" w:eastAsia="仿宋" w:cs="Times New Roman"/>
          <w:b w:val="0"/>
          <w:bCs/>
          <w:kern w:val="2"/>
          <w:sz w:val="32"/>
          <w:szCs w:val="32"/>
          <w:lang w:val="en-US" w:eastAsia="zh-CN" w:bidi="ar-SA"/>
        </w:rPr>
        <w:t>④</w:t>
      </w:r>
      <w:r>
        <w:rPr>
          <w:rFonts w:hint="eastAsia" w:ascii="Times New Roman" w:hAnsi="Times New Roman" w:eastAsia="仿宋" w:cs="Times New Roman"/>
          <w:b w:val="0"/>
          <w:bCs/>
          <w:kern w:val="2"/>
          <w:sz w:val="32"/>
          <w:szCs w:val="32"/>
          <w:lang w:val="en-US" w:eastAsia="zh-CN" w:bidi="ar-SA"/>
        </w:rPr>
        <w:fldChar w:fldCharType="end"/>
      </w:r>
      <w:r>
        <w:rPr>
          <w:rFonts w:hint="eastAsia" w:ascii="Times New Roman" w:hAnsi="Times New Roman" w:eastAsia="仿宋" w:cs="Times New Roman"/>
          <w:b w:val="0"/>
          <w:bCs/>
          <w:kern w:val="2"/>
          <w:sz w:val="32"/>
          <w:szCs w:val="32"/>
          <w:lang w:val="en-US" w:eastAsia="zh-CN" w:bidi="ar-SA"/>
        </w:rPr>
        <w:t>地铁6号线2A号口出站，东行500米</w:t>
      </w:r>
      <w:r>
        <w:rPr>
          <w:rFonts w:hint="eastAsia"/>
          <w:sz w:val="32"/>
          <w:szCs w:val="32"/>
        </w:rPr>
        <w:t>即到湖南宾馆。宾馆车位有限，建议使用公共交通工具前往。</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sz w:val="32"/>
          <w:szCs w:val="32"/>
        </w:rPr>
      </w:pPr>
      <w:r>
        <w:rPr>
          <w:sz w:val="32"/>
          <w:szCs w:val="32"/>
        </w:rPr>
        <w:fldChar w:fldCharType="begin"/>
      </w:r>
      <w:r>
        <w:rPr>
          <w:sz w:val="32"/>
          <w:szCs w:val="32"/>
        </w:rPr>
        <w:instrText xml:space="preserve"> </w:instrText>
      </w:r>
      <w:r>
        <w:rPr>
          <w:rFonts w:hint="eastAsia"/>
          <w:sz w:val="32"/>
          <w:szCs w:val="32"/>
        </w:rPr>
        <w:instrText xml:space="preserve">= 5 \* GB3</w:instrText>
      </w:r>
      <w:r>
        <w:rPr>
          <w:sz w:val="32"/>
          <w:szCs w:val="32"/>
        </w:rPr>
        <w:instrText xml:space="preserve"> </w:instrText>
      </w:r>
      <w:r>
        <w:rPr>
          <w:sz w:val="32"/>
          <w:szCs w:val="32"/>
        </w:rPr>
        <w:fldChar w:fldCharType="separate"/>
      </w:r>
      <w:r>
        <w:rPr>
          <w:rFonts w:hint="eastAsia"/>
          <w:sz w:val="32"/>
          <w:szCs w:val="32"/>
        </w:rPr>
        <w:t>⑤</w:t>
      </w:r>
      <w:r>
        <w:rPr>
          <w:sz w:val="32"/>
          <w:szCs w:val="32"/>
        </w:rPr>
        <w:fldChar w:fldCharType="end"/>
      </w:r>
      <w:r>
        <w:rPr>
          <w:sz w:val="32"/>
          <w:szCs w:val="32"/>
        </w:rPr>
        <w:t>因本次培训接待条件有限</w:t>
      </w:r>
      <w:r>
        <w:rPr>
          <w:rFonts w:hint="eastAsia"/>
          <w:sz w:val="32"/>
          <w:szCs w:val="32"/>
        </w:rPr>
        <w:t>，</w:t>
      </w:r>
      <w:r>
        <w:rPr>
          <w:sz w:val="32"/>
          <w:szCs w:val="32"/>
        </w:rPr>
        <w:t>非我会会员单位请勿报名</w:t>
      </w:r>
      <w:r>
        <w:rPr>
          <w:rFonts w:hint="eastAsia"/>
          <w:sz w:val="32"/>
          <w:szCs w:val="32"/>
        </w:rPr>
        <w:t>。</w:t>
      </w:r>
    </w:p>
    <w:p>
      <w:pPr>
        <w:keepNext w:val="0"/>
        <w:keepLines w:val="0"/>
        <w:pageBreakBefore w:val="0"/>
        <w:widowControl w:val="0"/>
        <w:kinsoku/>
        <w:wordWrap/>
        <w:topLinePunct w:val="0"/>
        <w:autoSpaceDE/>
        <w:autoSpaceDN/>
        <w:bidi w:val="0"/>
        <w:adjustRightInd w:val="0"/>
        <w:snapToGrid w:val="0"/>
        <w:spacing w:line="360" w:lineRule="auto"/>
        <w:ind w:left="0" w:leftChars="0" w:right="0" w:firstLine="640" w:firstLineChars="200"/>
        <w:jc w:val="both"/>
        <w:textAlignment w:val="auto"/>
        <w:rPr>
          <w:bCs/>
          <w:kern w:val="2"/>
          <w:sz w:val="32"/>
          <w:szCs w:val="32"/>
          <w:lang w:val="en-US" w:bidi="ar-SA"/>
        </w:rPr>
      </w:pPr>
      <w:r>
        <w:rPr>
          <w:sz w:val="32"/>
          <w:szCs w:val="32"/>
        </w:rPr>
        <w:fldChar w:fldCharType="begin"/>
      </w:r>
      <w:r>
        <w:rPr>
          <w:sz w:val="32"/>
          <w:szCs w:val="32"/>
        </w:rPr>
        <w:instrText xml:space="preserve"> </w:instrText>
      </w:r>
      <w:r>
        <w:rPr>
          <w:rFonts w:hint="eastAsia"/>
          <w:sz w:val="32"/>
          <w:szCs w:val="32"/>
        </w:rPr>
        <w:instrText xml:space="preserve">= 6 \* GB3</w:instrText>
      </w:r>
      <w:r>
        <w:rPr>
          <w:sz w:val="32"/>
          <w:szCs w:val="32"/>
        </w:rPr>
        <w:instrText xml:space="preserve"> </w:instrText>
      </w:r>
      <w:r>
        <w:rPr>
          <w:sz w:val="32"/>
          <w:szCs w:val="32"/>
        </w:rPr>
        <w:fldChar w:fldCharType="separate"/>
      </w:r>
      <w:r>
        <w:rPr>
          <w:rFonts w:hint="eastAsia"/>
          <w:sz w:val="32"/>
          <w:szCs w:val="32"/>
        </w:rPr>
        <w:t>⑥</w:t>
      </w:r>
      <w:r>
        <w:rPr>
          <w:sz w:val="32"/>
          <w:szCs w:val="32"/>
        </w:rPr>
        <w:fldChar w:fldCharType="end"/>
      </w:r>
      <w:r>
        <w:rPr>
          <w:b/>
          <w:bCs/>
          <w:kern w:val="2"/>
          <w:sz w:val="32"/>
          <w:szCs w:val="32"/>
          <w:lang w:val="en-US" w:bidi="ar-SA"/>
        </w:rPr>
        <w:t>基础教育专委会专场培训、职成教育专委会专场培训、高等教育专委会专场培训相关事宜另行通知。</w:t>
      </w:r>
    </w:p>
    <w:p>
      <w:pPr>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sz w:val="32"/>
          <w:szCs w:val="32"/>
        </w:rPr>
      </w:pPr>
      <w:r>
        <w:rPr>
          <w:rFonts w:hint="eastAsia"/>
          <w:sz w:val="32"/>
          <w:szCs w:val="32"/>
        </w:rPr>
        <w:t>3.会务联系人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荷</w:t>
      </w:r>
      <w:r>
        <w:rPr>
          <w:rFonts w:hint="eastAsia" w:ascii="Times New Roman" w:hAnsi="Times New Roman" w:cs="Times New Roman"/>
          <w:b w:val="0"/>
          <w:bCs/>
          <w:kern w:val="2"/>
          <w:sz w:val="32"/>
          <w:szCs w:val="32"/>
          <w:lang w:val="en-US" w:eastAsia="zh-CN" w:bidi="ar-SA"/>
        </w:rPr>
        <w:t xml:space="preserve">    </w:t>
      </w:r>
      <w:r>
        <w:rPr>
          <w:rFonts w:hint="eastAsia" w:ascii="Times New Roman" w:hAnsi="Times New Roman" w:eastAsia="仿宋" w:cs="Times New Roman"/>
          <w:b w:val="0"/>
          <w:bCs/>
          <w:kern w:val="2"/>
          <w:sz w:val="32"/>
          <w:szCs w:val="32"/>
          <w:lang w:val="en-US" w:eastAsia="zh-CN" w:bidi="ar-SA"/>
        </w:rPr>
        <w:t>洁（联系电话：13707315711 微信同号）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薛喜颜（联系电话：13007315565 微信同号）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textAlignment w:val="auto"/>
        <w:outlineLvl w:val="0"/>
        <w:rPr>
          <w:rFonts w:hint="eastAsia" w:ascii="Times New Roman" w:hAnsi="Times New Roman" w:eastAsia="仿宋" w:cs="Times New Roman"/>
          <w:b w:val="0"/>
          <w:bCs/>
          <w:kern w:val="2"/>
          <w:sz w:val="32"/>
          <w:szCs w:val="32"/>
          <w:lang w:val="en-US" w:eastAsia="zh-CN" w:bidi="ar-SA"/>
        </w:rPr>
      </w:pPr>
      <w:r>
        <w:rPr>
          <w:rFonts w:hint="eastAsia" w:ascii="Times New Roman" w:hAnsi="Times New Roman" w:eastAsia="仿宋" w:cs="Times New Roman"/>
          <w:b w:val="0"/>
          <w:bCs/>
          <w:kern w:val="2"/>
          <w:sz w:val="32"/>
          <w:szCs w:val="32"/>
          <w:lang w:val="en-US" w:eastAsia="zh-CN" w:bidi="ar-SA"/>
        </w:rPr>
        <w:t>阳</w:t>
      </w:r>
      <w:r>
        <w:rPr>
          <w:rFonts w:hint="eastAsia" w:ascii="Times New Roman" w:hAnsi="Times New Roman" w:cs="Times New Roman"/>
          <w:b w:val="0"/>
          <w:bCs/>
          <w:kern w:val="2"/>
          <w:sz w:val="32"/>
          <w:szCs w:val="32"/>
          <w:lang w:val="en-US" w:eastAsia="zh-CN" w:bidi="ar-SA"/>
        </w:rPr>
        <w:t xml:space="preserve">    </w:t>
      </w:r>
      <w:r>
        <w:rPr>
          <w:rFonts w:hint="eastAsia" w:ascii="Times New Roman" w:hAnsi="Times New Roman" w:eastAsia="仿宋" w:cs="Times New Roman"/>
          <w:b w:val="0"/>
          <w:bCs/>
          <w:kern w:val="2"/>
          <w:sz w:val="32"/>
          <w:szCs w:val="32"/>
          <w:lang w:val="en-US" w:eastAsia="zh-CN" w:bidi="ar-SA"/>
        </w:rPr>
        <w:t>萱（联系电话：15580949809 微信同号）</w:t>
      </w:r>
    </w:p>
    <w:p>
      <w:pPr>
        <w:pStyle w:val="3"/>
        <w:keepNext w:val="0"/>
        <w:keepLines w:val="0"/>
        <w:pageBreakBefore w:val="0"/>
        <w:widowControl w:val="0"/>
        <w:kinsoku/>
        <w:wordWrap/>
        <w:topLinePunct w:val="0"/>
        <w:bidi w:val="0"/>
        <w:adjustRightInd w:val="0"/>
        <w:snapToGrid w:val="0"/>
        <w:spacing w:line="360" w:lineRule="auto"/>
        <w:ind w:left="0" w:leftChars="0" w:right="0" w:firstLine="640" w:firstLineChars="200"/>
        <w:textAlignment w:val="auto"/>
        <w:rPr>
          <w:color w:val="000000" w:themeColor="text1"/>
          <w:sz w:val="32"/>
          <w:szCs w:val="32"/>
          <w:lang w:val="en-US"/>
        </w:rPr>
      </w:pPr>
      <w:r>
        <w:rPr>
          <w:rFonts w:hint="default" w:ascii="Times New Roman" w:hAnsi="Times New Roman" w:eastAsia="仿宋" w:cs="Times New Roman"/>
          <w:sz w:val="32"/>
          <w:szCs w:val="32"/>
        </w:rPr>
        <w:drawing>
          <wp:anchor distT="0" distB="0" distL="114300" distR="114300" simplePos="0" relativeHeight="251661312" behindDoc="1" locked="0" layoutInCell="1" allowOverlap="1">
            <wp:simplePos x="0" y="0"/>
            <wp:positionH relativeFrom="column">
              <wp:posOffset>3619500</wp:posOffset>
            </wp:positionH>
            <wp:positionV relativeFrom="paragraph">
              <wp:posOffset>293370</wp:posOffset>
            </wp:positionV>
            <wp:extent cx="1626870" cy="1548130"/>
            <wp:effectExtent l="0" t="0" r="11430" b="13970"/>
            <wp:wrapNone/>
            <wp:docPr id="1" name="图片 1" descr="湖南省民办教育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省民办教育协会"/>
                    <pic:cNvPicPr>
                      <a:picLocks noChangeAspect="1"/>
                    </pic:cNvPicPr>
                  </pic:nvPicPr>
                  <pic:blipFill>
                    <a:blip r:embed="rId8"/>
                    <a:stretch>
                      <a:fillRect/>
                    </a:stretch>
                  </pic:blipFill>
                  <pic:spPr>
                    <a:xfrm>
                      <a:off x="0" y="0"/>
                      <a:ext cx="1626870" cy="1548130"/>
                    </a:xfrm>
                    <a:prstGeom prst="rect">
                      <a:avLst/>
                    </a:prstGeom>
                  </pic:spPr>
                </pic:pic>
              </a:graphicData>
            </a:graphic>
          </wp:anchor>
        </w:drawing>
      </w:r>
      <w:r>
        <w:rPr>
          <w:rFonts w:hint="eastAsia"/>
          <w:color w:val="000000" w:themeColor="text1"/>
          <w:sz w:val="32"/>
          <w:szCs w:val="32"/>
          <w:lang w:val="en-US"/>
        </w:rPr>
        <w:t>附：</w:t>
      </w:r>
      <w:r>
        <w:rPr>
          <w:rFonts w:hint="eastAsia"/>
          <w:b/>
          <w:bCs/>
          <w:color w:val="000000" w:themeColor="text1"/>
          <w:sz w:val="32"/>
          <w:szCs w:val="32"/>
          <w:lang w:val="en-US"/>
        </w:rPr>
        <w:t>参会人员报名回执表</w:t>
      </w:r>
    </w:p>
    <w:p>
      <w:pPr>
        <w:pStyle w:val="3"/>
        <w:keepNext w:val="0"/>
        <w:keepLines w:val="0"/>
        <w:pageBreakBefore w:val="0"/>
        <w:widowControl w:val="0"/>
        <w:kinsoku/>
        <w:wordWrap/>
        <w:overflowPunct/>
        <w:topLinePunct w:val="0"/>
        <w:autoSpaceDE w:val="0"/>
        <w:autoSpaceDN w:val="0"/>
        <w:bidi w:val="0"/>
        <w:adjustRightInd w:val="0"/>
        <w:snapToGrid w:val="0"/>
        <w:spacing w:before="0" w:beforeLines="300" w:line="360" w:lineRule="auto"/>
        <w:ind w:left="0" w:leftChars="0" w:right="0" w:firstLine="643" w:firstLineChars="200"/>
        <w:jc w:val="right"/>
        <w:textAlignment w:val="auto"/>
        <w:rPr>
          <w:b/>
          <w:bCs/>
          <w:color w:val="000000" w:themeColor="text1"/>
          <w:sz w:val="32"/>
          <w:szCs w:val="32"/>
          <w:lang w:val="en-US"/>
        </w:rPr>
      </w:pPr>
      <w:r>
        <w:rPr>
          <w:rFonts w:hint="eastAsia"/>
          <w:b/>
          <w:bCs/>
          <w:color w:val="000000" w:themeColor="text1"/>
          <w:sz w:val="32"/>
          <w:szCs w:val="32"/>
          <w:lang w:val="en-US"/>
        </w:rPr>
        <w:t>湖南省民办教育协会</w:t>
      </w:r>
    </w:p>
    <w:p>
      <w:pPr>
        <w:pStyle w:val="3"/>
        <w:keepNext w:val="0"/>
        <w:keepLines w:val="0"/>
        <w:pageBreakBefore w:val="0"/>
        <w:widowControl w:val="0"/>
        <w:kinsoku/>
        <w:wordWrap/>
        <w:topLinePunct w:val="0"/>
        <w:bidi w:val="0"/>
        <w:adjustRightInd w:val="0"/>
        <w:snapToGrid w:val="0"/>
        <w:spacing w:line="360" w:lineRule="auto"/>
        <w:ind w:left="0" w:leftChars="0" w:right="0" w:firstLine="640" w:firstLineChars="200"/>
        <w:jc w:val="center"/>
        <w:textAlignment w:val="auto"/>
        <w:rPr>
          <w:rFonts w:hint="default" w:ascii="Times New Roman" w:hAnsi="Times New Roman" w:cs="Times New Roman"/>
          <w:color w:val="000000" w:themeColor="text1"/>
          <w:sz w:val="32"/>
          <w:szCs w:val="32"/>
          <w:lang w:val="en-US"/>
        </w:rPr>
        <w:sectPr>
          <w:headerReference r:id="rId3" w:type="default"/>
          <w:footerReference r:id="rId4" w:type="default"/>
          <w:pgSz w:w="11910" w:h="16840"/>
          <w:pgMar w:top="1803" w:right="1803" w:bottom="1803" w:left="1803" w:header="720" w:footer="720" w:gutter="0"/>
          <w:pgNumType w:fmt="decimal" w:start="1"/>
          <w:cols w:space="720" w:num="1"/>
        </w:sectPr>
      </w:pPr>
      <w:r>
        <w:rPr>
          <w:rFonts w:hint="default" w:ascii="Times New Roman" w:hAnsi="Times New Roman" w:cs="Times New Roman"/>
          <w:color w:val="000000" w:themeColor="text1"/>
          <w:sz w:val="32"/>
          <w:szCs w:val="32"/>
          <w:lang w:val="en-US" w:eastAsia="zh-CN"/>
        </w:rPr>
        <w:t xml:space="preserve">                          </w:t>
      </w:r>
      <w:r>
        <w:rPr>
          <w:rFonts w:hint="eastAsia" w:ascii="Times New Roman" w:hAnsi="Times New Roman" w:cs="Times New Roman"/>
          <w:color w:val="000000" w:themeColor="text1"/>
          <w:sz w:val="32"/>
          <w:szCs w:val="32"/>
          <w:lang w:val="en-US" w:eastAsia="zh-CN"/>
        </w:rPr>
        <w:t xml:space="preserve">                                   </w:t>
      </w:r>
      <w:r>
        <w:rPr>
          <w:rFonts w:hint="default" w:ascii="Times New Roman" w:hAnsi="Times New Roman" w:cs="Times New Roman"/>
          <w:color w:val="000000" w:themeColor="text1"/>
          <w:sz w:val="32"/>
          <w:szCs w:val="32"/>
          <w:lang w:val="en-US" w:eastAsia="zh-CN"/>
        </w:rPr>
        <w:t xml:space="preserve">   </w:t>
      </w:r>
      <w:r>
        <w:rPr>
          <w:rFonts w:hint="default" w:ascii="Times New Roman" w:hAnsi="Times New Roman" w:cs="Times New Roman"/>
          <w:color w:val="000000" w:themeColor="text1"/>
          <w:sz w:val="32"/>
          <w:szCs w:val="32"/>
        </w:rPr>
        <w:t>2022</w:t>
      </w:r>
      <w:r>
        <w:rPr>
          <w:rFonts w:hint="default" w:ascii="Times New Roman" w:hAnsi="Times New Roman" w:cs="Times New Roman"/>
          <w:color w:val="000000" w:themeColor="text1"/>
          <w:sz w:val="32"/>
          <w:szCs w:val="32"/>
          <w:lang w:val="en-US"/>
        </w:rPr>
        <w:t>年</w:t>
      </w:r>
      <w:r>
        <w:rPr>
          <w:rFonts w:hint="default" w:ascii="Times New Roman" w:hAnsi="Times New Roman" w:cs="Times New Roman"/>
          <w:color w:val="000000" w:themeColor="text1"/>
          <w:sz w:val="32"/>
          <w:szCs w:val="32"/>
        </w:rPr>
        <w:t>9</w:t>
      </w:r>
      <w:r>
        <w:rPr>
          <w:rFonts w:hint="default" w:ascii="Times New Roman" w:hAnsi="Times New Roman" w:cs="Times New Roman"/>
          <w:color w:val="000000" w:themeColor="text1"/>
          <w:sz w:val="32"/>
          <w:szCs w:val="32"/>
          <w:lang w:val="en-US"/>
        </w:rPr>
        <w:t>月</w:t>
      </w:r>
      <w:r>
        <w:rPr>
          <w:rFonts w:hint="default" w:ascii="Times New Roman" w:hAnsi="Times New Roman" w:cs="Times New Roman"/>
          <w:color w:val="000000" w:themeColor="text1"/>
          <w:sz w:val="32"/>
          <w:szCs w:val="32"/>
        </w:rPr>
        <w:t>7</w:t>
      </w:r>
      <w:r>
        <w:rPr>
          <w:rFonts w:hint="default" w:ascii="Times New Roman" w:hAnsi="Times New Roman" w:cs="Times New Roman"/>
          <w:color w:val="000000" w:themeColor="text1"/>
          <w:sz w:val="32"/>
          <w:szCs w:val="32"/>
          <w:lang w:val="en-US"/>
        </w:rPr>
        <w:t>日</w:t>
      </w:r>
    </w:p>
    <w:p>
      <w:pPr>
        <w:pStyle w:val="3"/>
        <w:spacing w:before="5"/>
        <w:rPr>
          <w:sz w:val="26"/>
        </w:rPr>
      </w:pPr>
    </w:p>
    <w:p>
      <w:pPr>
        <w:pStyle w:val="3"/>
        <w:rPr>
          <w:b/>
          <w:bCs/>
          <w:sz w:val="32"/>
          <w:szCs w:val="32"/>
        </w:rPr>
      </w:pPr>
      <w:r>
        <w:rPr>
          <w:b/>
          <w:bCs/>
          <w:sz w:val="32"/>
          <w:szCs w:val="32"/>
        </w:rPr>
        <w:t>附件：</w:t>
      </w:r>
    </w:p>
    <w:p>
      <w:pPr>
        <w:spacing w:before="58"/>
        <w:ind w:left="112"/>
        <w:rPr>
          <w:sz w:val="30"/>
        </w:rPr>
      </w:pPr>
    </w:p>
    <w:p>
      <w:pPr>
        <w:pStyle w:val="2"/>
        <w:spacing w:before="13" w:line="240" w:lineRule="auto"/>
        <w:ind w:left="4970" w:right="4730"/>
        <w:jc w:val="center"/>
        <w:rPr>
          <w:rFonts w:ascii="黑体" w:eastAsia="黑体"/>
          <w:lang w:val="en-US"/>
        </w:rPr>
      </w:pPr>
      <w:r>
        <w:rPr>
          <w:rFonts w:hint="eastAsia" w:ascii="黑体" w:eastAsia="黑体"/>
        </w:rPr>
        <w:t>参会</w:t>
      </w:r>
      <w:r>
        <w:rPr>
          <w:rFonts w:hint="eastAsia" w:ascii="黑体" w:eastAsia="黑体"/>
          <w:lang w:val="en-US"/>
        </w:rPr>
        <w:t>人员报名</w:t>
      </w:r>
      <w:r>
        <w:rPr>
          <w:rFonts w:hint="eastAsia" w:ascii="黑体" w:eastAsia="黑体"/>
        </w:rPr>
        <w:t>回执</w:t>
      </w:r>
      <w:r>
        <w:rPr>
          <w:rFonts w:hint="eastAsia" w:ascii="黑体" w:eastAsia="黑体"/>
          <w:lang w:val="en-US"/>
        </w:rPr>
        <w:t>表</w:t>
      </w:r>
    </w:p>
    <w:p>
      <w:pPr>
        <w:pStyle w:val="3"/>
        <w:rPr>
          <w:rFonts w:ascii="黑体"/>
          <w:b/>
          <w:sz w:val="20"/>
        </w:rPr>
      </w:pPr>
    </w:p>
    <w:p>
      <w:pPr>
        <w:pStyle w:val="3"/>
        <w:spacing w:before="2"/>
        <w:rPr>
          <w:rFonts w:ascii="黑体"/>
          <w:b/>
          <w:sz w:val="20"/>
        </w:rPr>
      </w:pPr>
    </w:p>
    <w:tbl>
      <w:tblPr>
        <w:tblStyle w:val="7"/>
        <w:tblW w:w="0" w:type="auto"/>
        <w:tblInd w:w="3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2"/>
        <w:gridCol w:w="1701"/>
        <w:gridCol w:w="1134"/>
        <w:gridCol w:w="1701"/>
        <w:gridCol w:w="2268"/>
        <w:gridCol w:w="1953"/>
        <w:gridCol w:w="1738"/>
        <w:gridCol w:w="767"/>
        <w:gridCol w:w="716"/>
        <w:gridCol w:w="14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632" w:type="dxa"/>
            <w:vMerge w:val="restart"/>
            <w:tcBorders>
              <w:bottom w:val="single" w:color="000000" w:sz="4" w:space="0"/>
              <w:right w:val="single" w:color="000000" w:sz="4" w:space="0"/>
            </w:tcBorders>
          </w:tcPr>
          <w:p>
            <w:pPr>
              <w:pStyle w:val="14"/>
              <w:spacing w:before="210" w:line="242" w:lineRule="auto"/>
              <w:ind w:left="194" w:right="175"/>
              <w:rPr>
                <w:b/>
                <w:sz w:val="24"/>
              </w:rPr>
            </w:pPr>
            <w:r>
              <w:rPr>
                <w:b/>
                <w:sz w:val="24"/>
              </w:rPr>
              <w:t>序号</w:t>
            </w:r>
          </w:p>
        </w:tc>
        <w:tc>
          <w:tcPr>
            <w:tcW w:w="1701" w:type="dxa"/>
            <w:vMerge w:val="restart"/>
            <w:tcBorders>
              <w:left w:val="single" w:color="000000" w:sz="4" w:space="0"/>
              <w:bottom w:val="single" w:color="000000" w:sz="4" w:space="0"/>
              <w:right w:val="single" w:color="000000" w:sz="4" w:space="0"/>
            </w:tcBorders>
          </w:tcPr>
          <w:p>
            <w:pPr>
              <w:pStyle w:val="14"/>
              <w:spacing w:before="5"/>
              <w:rPr>
                <w:rFonts w:ascii="黑体"/>
                <w:b/>
                <w:sz w:val="28"/>
              </w:rPr>
            </w:pPr>
          </w:p>
          <w:p>
            <w:pPr>
              <w:pStyle w:val="14"/>
              <w:ind w:left="597" w:right="571"/>
              <w:jc w:val="center"/>
              <w:rPr>
                <w:b/>
                <w:sz w:val="24"/>
              </w:rPr>
            </w:pPr>
            <w:r>
              <w:rPr>
                <w:b/>
                <w:sz w:val="24"/>
              </w:rPr>
              <w:t>姓名</w:t>
            </w:r>
          </w:p>
        </w:tc>
        <w:tc>
          <w:tcPr>
            <w:tcW w:w="1134" w:type="dxa"/>
            <w:vMerge w:val="restart"/>
            <w:tcBorders>
              <w:left w:val="single" w:color="000000" w:sz="4" w:space="0"/>
              <w:bottom w:val="single" w:color="000000" w:sz="4" w:space="0"/>
              <w:right w:val="single" w:color="000000" w:sz="4" w:space="0"/>
            </w:tcBorders>
          </w:tcPr>
          <w:p>
            <w:pPr>
              <w:pStyle w:val="14"/>
              <w:spacing w:before="5"/>
              <w:rPr>
                <w:rFonts w:ascii="黑体"/>
                <w:b/>
                <w:sz w:val="28"/>
              </w:rPr>
            </w:pPr>
          </w:p>
          <w:p>
            <w:pPr>
              <w:pStyle w:val="14"/>
              <w:ind w:left="336"/>
              <w:rPr>
                <w:b/>
                <w:sz w:val="24"/>
              </w:rPr>
            </w:pPr>
            <w:r>
              <w:rPr>
                <w:b/>
                <w:sz w:val="24"/>
              </w:rPr>
              <w:t>性别</w:t>
            </w:r>
          </w:p>
        </w:tc>
        <w:tc>
          <w:tcPr>
            <w:tcW w:w="1701" w:type="dxa"/>
            <w:vMerge w:val="restart"/>
            <w:tcBorders>
              <w:left w:val="single" w:color="000000" w:sz="4" w:space="0"/>
              <w:bottom w:val="single" w:color="000000" w:sz="4" w:space="0"/>
              <w:right w:val="single" w:color="000000" w:sz="4" w:space="0"/>
            </w:tcBorders>
          </w:tcPr>
          <w:p>
            <w:pPr>
              <w:pStyle w:val="14"/>
              <w:spacing w:before="5"/>
              <w:rPr>
                <w:rFonts w:ascii="黑体"/>
                <w:b/>
                <w:sz w:val="28"/>
              </w:rPr>
            </w:pPr>
          </w:p>
          <w:p>
            <w:pPr>
              <w:pStyle w:val="14"/>
              <w:ind w:left="596" w:right="571"/>
              <w:jc w:val="center"/>
              <w:rPr>
                <w:b/>
                <w:sz w:val="24"/>
              </w:rPr>
            </w:pPr>
            <w:r>
              <w:rPr>
                <w:b/>
                <w:sz w:val="24"/>
              </w:rPr>
              <w:t>职务</w:t>
            </w:r>
          </w:p>
        </w:tc>
        <w:tc>
          <w:tcPr>
            <w:tcW w:w="2268" w:type="dxa"/>
            <w:vMerge w:val="restart"/>
            <w:tcBorders>
              <w:left w:val="single" w:color="000000" w:sz="4" w:space="0"/>
              <w:bottom w:val="single" w:color="000000" w:sz="4" w:space="0"/>
              <w:right w:val="single" w:color="000000" w:sz="4" w:space="0"/>
            </w:tcBorders>
          </w:tcPr>
          <w:p>
            <w:pPr>
              <w:pStyle w:val="14"/>
              <w:spacing w:before="5"/>
              <w:rPr>
                <w:rFonts w:ascii="黑体"/>
                <w:b/>
                <w:sz w:val="28"/>
              </w:rPr>
            </w:pPr>
          </w:p>
          <w:p>
            <w:pPr>
              <w:pStyle w:val="14"/>
              <w:ind w:left="664"/>
              <w:rPr>
                <w:b/>
                <w:sz w:val="24"/>
              </w:rPr>
            </w:pPr>
            <w:r>
              <w:rPr>
                <w:b/>
                <w:sz w:val="24"/>
              </w:rPr>
              <w:t>工作单位</w:t>
            </w:r>
          </w:p>
        </w:tc>
        <w:tc>
          <w:tcPr>
            <w:tcW w:w="1953" w:type="dxa"/>
            <w:vMerge w:val="restart"/>
            <w:tcBorders>
              <w:left w:val="single" w:color="000000" w:sz="4" w:space="0"/>
              <w:bottom w:val="single" w:color="000000" w:sz="4" w:space="0"/>
              <w:right w:val="single" w:color="000000" w:sz="4" w:space="0"/>
            </w:tcBorders>
          </w:tcPr>
          <w:p>
            <w:pPr>
              <w:pStyle w:val="14"/>
              <w:spacing w:before="5"/>
              <w:rPr>
                <w:rFonts w:ascii="黑体"/>
                <w:b/>
                <w:sz w:val="28"/>
              </w:rPr>
            </w:pPr>
          </w:p>
          <w:p>
            <w:pPr>
              <w:pStyle w:val="14"/>
              <w:ind w:left="506"/>
              <w:rPr>
                <w:b/>
                <w:sz w:val="24"/>
              </w:rPr>
            </w:pPr>
            <w:r>
              <w:rPr>
                <w:b/>
                <w:sz w:val="24"/>
              </w:rPr>
              <w:t>电子邮箱</w:t>
            </w:r>
          </w:p>
        </w:tc>
        <w:tc>
          <w:tcPr>
            <w:tcW w:w="1738" w:type="dxa"/>
            <w:vMerge w:val="restart"/>
            <w:tcBorders>
              <w:left w:val="single" w:color="000000" w:sz="4" w:space="0"/>
              <w:bottom w:val="single" w:color="000000" w:sz="4" w:space="0"/>
              <w:right w:val="single" w:color="000000" w:sz="4" w:space="0"/>
            </w:tcBorders>
          </w:tcPr>
          <w:p>
            <w:pPr>
              <w:pStyle w:val="14"/>
              <w:spacing w:before="5"/>
              <w:rPr>
                <w:rFonts w:ascii="黑体"/>
                <w:b/>
                <w:sz w:val="28"/>
              </w:rPr>
            </w:pPr>
          </w:p>
          <w:p>
            <w:pPr>
              <w:pStyle w:val="14"/>
              <w:ind w:left="398"/>
              <w:rPr>
                <w:b/>
                <w:sz w:val="24"/>
              </w:rPr>
            </w:pPr>
            <w:r>
              <w:rPr>
                <w:b/>
                <w:sz w:val="24"/>
              </w:rPr>
              <w:t>联系电话</w:t>
            </w:r>
          </w:p>
        </w:tc>
        <w:tc>
          <w:tcPr>
            <w:tcW w:w="1483" w:type="dxa"/>
            <w:gridSpan w:val="2"/>
            <w:tcBorders>
              <w:left w:val="single" w:color="000000" w:sz="4" w:space="0"/>
              <w:bottom w:val="single" w:color="000000" w:sz="4" w:space="0"/>
              <w:right w:val="single" w:color="000000" w:sz="4" w:space="0"/>
            </w:tcBorders>
          </w:tcPr>
          <w:p>
            <w:pPr>
              <w:pStyle w:val="14"/>
              <w:spacing w:before="126"/>
              <w:ind w:left="271"/>
              <w:rPr>
                <w:b/>
                <w:sz w:val="24"/>
              </w:rPr>
            </w:pPr>
            <w:r>
              <w:rPr>
                <w:b/>
                <w:sz w:val="24"/>
              </w:rPr>
              <w:t>是否住宿</w:t>
            </w:r>
          </w:p>
        </w:tc>
        <w:tc>
          <w:tcPr>
            <w:tcW w:w="1489" w:type="dxa"/>
            <w:vMerge w:val="restart"/>
            <w:tcBorders>
              <w:left w:val="single" w:color="000000" w:sz="4" w:space="0"/>
              <w:bottom w:val="single" w:color="000000" w:sz="4" w:space="0"/>
            </w:tcBorders>
          </w:tcPr>
          <w:p>
            <w:pPr>
              <w:pStyle w:val="14"/>
              <w:spacing w:before="5"/>
              <w:rPr>
                <w:rFonts w:ascii="黑体"/>
                <w:b/>
                <w:sz w:val="28"/>
              </w:rPr>
            </w:pPr>
          </w:p>
          <w:p>
            <w:pPr>
              <w:pStyle w:val="14"/>
              <w:ind w:left="513"/>
              <w:rPr>
                <w:b/>
                <w:sz w:val="24"/>
              </w:rPr>
            </w:pPr>
            <w:r>
              <w:rPr>
                <w:b/>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632" w:type="dxa"/>
            <w:vMerge w:val="continue"/>
            <w:tcBorders>
              <w:top w:val="nil"/>
              <w:bottom w:val="single" w:color="000000" w:sz="4" w:space="0"/>
              <w:right w:val="single" w:color="000000" w:sz="4" w:space="0"/>
            </w:tcBorders>
          </w:tcPr>
          <w:p>
            <w:pPr>
              <w:rPr>
                <w:sz w:val="2"/>
                <w:szCs w:val="2"/>
              </w:rPr>
            </w:pPr>
          </w:p>
        </w:tc>
        <w:tc>
          <w:tcPr>
            <w:tcW w:w="1701" w:type="dxa"/>
            <w:vMerge w:val="continue"/>
            <w:tcBorders>
              <w:top w:val="nil"/>
              <w:left w:val="single" w:color="000000" w:sz="4" w:space="0"/>
              <w:bottom w:val="single" w:color="000000" w:sz="4" w:space="0"/>
              <w:right w:val="single" w:color="000000" w:sz="4" w:space="0"/>
            </w:tcBorders>
          </w:tcPr>
          <w:p>
            <w:pPr>
              <w:rPr>
                <w:sz w:val="2"/>
                <w:szCs w:val="2"/>
              </w:rPr>
            </w:pPr>
          </w:p>
        </w:tc>
        <w:tc>
          <w:tcPr>
            <w:tcW w:w="1134" w:type="dxa"/>
            <w:vMerge w:val="continue"/>
            <w:tcBorders>
              <w:top w:val="nil"/>
              <w:left w:val="single" w:color="000000" w:sz="4" w:space="0"/>
              <w:bottom w:val="single" w:color="000000" w:sz="4" w:space="0"/>
              <w:right w:val="single" w:color="000000" w:sz="4" w:space="0"/>
            </w:tcBorders>
          </w:tcPr>
          <w:p>
            <w:pPr>
              <w:rPr>
                <w:sz w:val="2"/>
                <w:szCs w:val="2"/>
              </w:rPr>
            </w:pPr>
          </w:p>
        </w:tc>
        <w:tc>
          <w:tcPr>
            <w:tcW w:w="1701" w:type="dxa"/>
            <w:vMerge w:val="continue"/>
            <w:tcBorders>
              <w:top w:val="nil"/>
              <w:left w:val="single" w:color="000000" w:sz="4" w:space="0"/>
              <w:bottom w:val="single" w:color="000000" w:sz="4" w:space="0"/>
              <w:right w:val="single" w:color="000000" w:sz="4" w:space="0"/>
            </w:tcBorders>
          </w:tcPr>
          <w:p>
            <w:pPr>
              <w:rPr>
                <w:sz w:val="2"/>
                <w:szCs w:val="2"/>
              </w:rPr>
            </w:pPr>
          </w:p>
        </w:tc>
        <w:tc>
          <w:tcPr>
            <w:tcW w:w="2268" w:type="dxa"/>
            <w:vMerge w:val="continue"/>
            <w:tcBorders>
              <w:top w:val="nil"/>
              <w:left w:val="single" w:color="000000" w:sz="4" w:space="0"/>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1738" w:type="dxa"/>
            <w:vMerge w:val="continue"/>
            <w:tcBorders>
              <w:top w:val="nil"/>
              <w:left w:val="single" w:color="000000" w:sz="4" w:space="0"/>
              <w:bottom w:val="single" w:color="000000" w:sz="4" w:space="0"/>
              <w:right w:val="single" w:color="000000" w:sz="4" w:space="0"/>
            </w:tcBorders>
          </w:tcPr>
          <w:p>
            <w:pPr>
              <w:rPr>
                <w:sz w:val="2"/>
                <w:szCs w:val="2"/>
              </w:rPr>
            </w:pPr>
          </w:p>
        </w:tc>
        <w:tc>
          <w:tcPr>
            <w:tcW w:w="767" w:type="dxa"/>
            <w:tcBorders>
              <w:top w:val="single" w:color="000000" w:sz="4" w:space="0"/>
              <w:left w:val="single" w:color="000000" w:sz="4" w:space="0"/>
              <w:bottom w:val="single" w:color="000000" w:sz="4" w:space="0"/>
              <w:right w:val="single" w:color="000000" w:sz="4" w:space="0"/>
            </w:tcBorders>
          </w:tcPr>
          <w:p>
            <w:pPr>
              <w:pStyle w:val="14"/>
              <w:spacing w:before="79"/>
              <w:ind w:left="273"/>
              <w:rPr>
                <w:b/>
                <w:sz w:val="24"/>
              </w:rPr>
            </w:pPr>
            <w:r>
              <w:rPr>
                <w:b/>
                <w:w w:val="99"/>
                <w:sz w:val="24"/>
              </w:rPr>
              <w:t>单</w:t>
            </w:r>
          </w:p>
        </w:tc>
        <w:tc>
          <w:tcPr>
            <w:tcW w:w="716" w:type="dxa"/>
            <w:tcBorders>
              <w:top w:val="single" w:color="000000" w:sz="4" w:space="0"/>
              <w:left w:val="single" w:color="000000" w:sz="4" w:space="0"/>
              <w:bottom w:val="single" w:color="000000" w:sz="4" w:space="0"/>
              <w:right w:val="single" w:color="000000" w:sz="4" w:space="0"/>
            </w:tcBorders>
          </w:tcPr>
          <w:p>
            <w:pPr>
              <w:pStyle w:val="14"/>
              <w:spacing w:before="79"/>
              <w:ind w:left="247"/>
              <w:rPr>
                <w:b/>
                <w:sz w:val="24"/>
              </w:rPr>
            </w:pPr>
            <w:r>
              <w:rPr>
                <w:b/>
                <w:w w:val="99"/>
                <w:sz w:val="24"/>
              </w:rPr>
              <w:t>双</w:t>
            </w:r>
          </w:p>
        </w:tc>
        <w:tc>
          <w:tcPr>
            <w:tcW w:w="1489"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632" w:type="dxa"/>
            <w:tcBorders>
              <w:top w:val="single" w:color="000000" w:sz="4" w:space="0"/>
              <w:bottom w:val="single" w:color="000000" w:sz="4" w:space="0"/>
              <w:right w:val="single" w:color="000000" w:sz="4" w:space="0"/>
            </w:tcBorders>
          </w:tcPr>
          <w:p>
            <w:pPr>
              <w:pStyle w:val="14"/>
              <w:rPr>
                <w:rFonts w:ascii="Times New Roman"/>
                <w:sz w:val="24"/>
              </w:rPr>
            </w:pPr>
          </w:p>
        </w:tc>
        <w:tc>
          <w:tcPr>
            <w:tcW w:w="1701"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134"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701"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2268"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953"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738"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767"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716"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489" w:type="dxa"/>
            <w:tcBorders>
              <w:top w:val="single" w:color="000000" w:sz="4" w:space="0"/>
              <w:left w:val="single" w:color="000000" w:sz="4" w:space="0"/>
              <w:bottom w:val="single" w:color="000000" w:sz="4" w:space="0"/>
            </w:tcBorders>
          </w:tcPr>
          <w:p>
            <w:pPr>
              <w:pStyle w:val="1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5" w:hRule="atLeast"/>
        </w:trPr>
        <w:tc>
          <w:tcPr>
            <w:tcW w:w="632" w:type="dxa"/>
            <w:tcBorders>
              <w:right w:val="single" w:color="000000" w:sz="4" w:space="0"/>
            </w:tcBorders>
          </w:tcPr>
          <w:p>
            <w:pPr>
              <w:pStyle w:val="14"/>
              <w:rPr>
                <w:rFonts w:ascii="Times New Roman"/>
                <w:sz w:val="24"/>
              </w:rPr>
            </w:pPr>
          </w:p>
        </w:tc>
        <w:tc>
          <w:tcPr>
            <w:tcW w:w="1701" w:type="dxa"/>
            <w:tcBorders>
              <w:left w:val="single" w:color="000000" w:sz="4" w:space="0"/>
              <w:right w:val="single" w:color="000000" w:sz="4" w:space="0"/>
            </w:tcBorders>
          </w:tcPr>
          <w:p>
            <w:pPr>
              <w:pStyle w:val="14"/>
              <w:rPr>
                <w:rFonts w:ascii="Times New Roman"/>
                <w:sz w:val="24"/>
              </w:rPr>
            </w:pPr>
          </w:p>
        </w:tc>
        <w:tc>
          <w:tcPr>
            <w:tcW w:w="1134" w:type="dxa"/>
            <w:tcBorders>
              <w:left w:val="single" w:color="000000" w:sz="4" w:space="0"/>
              <w:right w:val="single" w:color="000000" w:sz="4" w:space="0"/>
            </w:tcBorders>
          </w:tcPr>
          <w:p>
            <w:pPr>
              <w:pStyle w:val="14"/>
              <w:rPr>
                <w:rFonts w:ascii="Times New Roman"/>
                <w:sz w:val="24"/>
              </w:rPr>
            </w:pPr>
          </w:p>
        </w:tc>
        <w:tc>
          <w:tcPr>
            <w:tcW w:w="1701" w:type="dxa"/>
            <w:tcBorders>
              <w:left w:val="single" w:color="000000" w:sz="4" w:space="0"/>
              <w:right w:val="single" w:color="000000" w:sz="4" w:space="0"/>
            </w:tcBorders>
          </w:tcPr>
          <w:p>
            <w:pPr>
              <w:pStyle w:val="14"/>
              <w:rPr>
                <w:rFonts w:ascii="Times New Roman"/>
                <w:sz w:val="24"/>
              </w:rPr>
            </w:pPr>
          </w:p>
        </w:tc>
        <w:tc>
          <w:tcPr>
            <w:tcW w:w="2268" w:type="dxa"/>
            <w:tcBorders>
              <w:left w:val="single" w:color="000000" w:sz="4" w:space="0"/>
              <w:right w:val="single" w:color="000000" w:sz="4" w:space="0"/>
            </w:tcBorders>
          </w:tcPr>
          <w:p>
            <w:pPr>
              <w:pStyle w:val="14"/>
              <w:rPr>
                <w:rFonts w:ascii="Times New Roman"/>
                <w:sz w:val="24"/>
              </w:rPr>
            </w:pPr>
          </w:p>
        </w:tc>
        <w:tc>
          <w:tcPr>
            <w:tcW w:w="1953" w:type="dxa"/>
            <w:tcBorders>
              <w:left w:val="single" w:color="000000" w:sz="4" w:space="0"/>
              <w:right w:val="single" w:color="000000" w:sz="4" w:space="0"/>
            </w:tcBorders>
          </w:tcPr>
          <w:p>
            <w:pPr>
              <w:pStyle w:val="14"/>
              <w:rPr>
                <w:rFonts w:ascii="Times New Roman"/>
                <w:sz w:val="24"/>
              </w:rPr>
            </w:pPr>
          </w:p>
        </w:tc>
        <w:tc>
          <w:tcPr>
            <w:tcW w:w="1738" w:type="dxa"/>
            <w:tcBorders>
              <w:left w:val="single" w:color="000000" w:sz="4" w:space="0"/>
              <w:right w:val="single" w:color="000000" w:sz="4" w:space="0"/>
            </w:tcBorders>
          </w:tcPr>
          <w:p>
            <w:pPr>
              <w:pStyle w:val="14"/>
              <w:rPr>
                <w:rFonts w:ascii="Times New Roman"/>
                <w:sz w:val="24"/>
              </w:rPr>
            </w:pPr>
          </w:p>
        </w:tc>
        <w:tc>
          <w:tcPr>
            <w:tcW w:w="767" w:type="dxa"/>
            <w:tcBorders>
              <w:left w:val="single" w:color="000000" w:sz="4" w:space="0"/>
              <w:right w:val="single" w:color="000000" w:sz="4" w:space="0"/>
            </w:tcBorders>
          </w:tcPr>
          <w:p>
            <w:pPr>
              <w:pStyle w:val="14"/>
              <w:rPr>
                <w:rFonts w:ascii="Times New Roman"/>
                <w:sz w:val="24"/>
              </w:rPr>
            </w:pPr>
          </w:p>
        </w:tc>
        <w:tc>
          <w:tcPr>
            <w:tcW w:w="716" w:type="dxa"/>
            <w:tcBorders>
              <w:left w:val="single" w:color="000000" w:sz="4" w:space="0"/>
              <w:right w:val="single" w:color="000000" w:sz="4" w:space="0"/>
            </w:tcBorders>
          </w:tcPr>
          <w:p>
            <w:pPr>
              <w:pStyle w:val="14"/>
              <w:rPr>
                <w:rFonts w:ascii="Times New Roman"/>
                <w:sz w:val="24"/>
              </w:rPr>
            </w:pPr>
          </w:p>
        </w:tc>
        <w:tc>
          <w:tcPr>
            <w:tcW w:w="1489" w:type="dxa"/>
            <w:tcBorders>
              <w:left w:val="single" w:color="000000" w:sz="4" w:space="0"/>
            </w:tcBorders>
          </w:tcPr>
          <w:p>
            <w:pPr>
              <w:pStyle w:val="14"/>
              <w:rPr>
                <w:rFonts w:ascii="Times New Roman"/>
                <w:sz w:val="24"/>
              </w:rPr>
            </w:pPr>
          </w:p>
        </w:tc>
      </w:tr>
    </w:tbl>
    <w:p>
      <w:pPr>
        <w:pStyle w:val="3"/>
        <w:rPr>
          <w:rFonts w:ascii="黑体"/>
          <w:b/>
          <w:sz w:val="20"/>
        </w:rPr>
      </w:pPr>
    </w:p>
    <w:p>
      <w:pPr>
        <w:pStyle w:val="3"/>
        <w:spacing w:before="12"/>
        <w:rPr>
          <w:rFonts w:ascii="黑体"/>
          <w:b/>
          <w:sz w:val="25"/>
        </w:rPr>
      </w:pPr>
    </w:p>
    <w:p>
      <w:pPr>
        <w:tabs>
          <w:tab w:val="left" w:pos="7439"/>
        </w:tabs>
        <w:spacing w:before="74"/>
        <w:ind w:left="112"/>
      </w:pPr>
      <w:r>
        <w:rPr>
          <w:b/>
          <w:sz w:val="24"/>
        </w:rPr>
        <w:t>【特别提示】</w:t>
      </w:r>
      <w:r>
        <w:rPr>
          <w:sz w:val="24"/>
        </w:rPr>
        <w:t xml:space="preserve">请各位参会代表在 </w:t>
      </w:r>
      <w:r>
        <w:rPr>
          <w:rFonts w:hint="eastAsia"/>
          <w:sz w:val="24"/>
        </w:rPr>
        <w:t>9</w:t>
      </w:r>
      <w:r>
        <w:rPr>
          <w:sz w:val="24"/>
        </w:rPr>
        <w:t>月</w:t>
      </w:r>
      <w:r>
        <w:rPr>
          <w:rFonts w:hint="eastAsia"/>
          <w:sz w:val="24"/>
        </w:rPr>
        <w:t>23</w:t>
      </w:r>
      <w:r>
        <w:rPr>
          <w:sz w:val="24"/>
        </w:rPr>
        <w:t>日之前将回执发给</w:t>
      </w:r>
      <w:r>
        <w:rPr>
          <w:color w:val="000000" w:themeColor="text1"/>
          <w:sz w:val="24"/>
          <w:szCs w:val="24"/>
        </w:rPr>
        <w:t>阳萱</w:t>
      </w:r>
      <w:r>
        <w:rPr>
          <w:color w:val="000000" w:themeColor="text1"/>
          <w:sz w:val="24"/>
          <w:szCs w:val="24"/>
          <w:lang w:val="en-US"/>
        </w:rPr>
        <w:t>同志</w:t>
      </w:r>
      <w:r>
        <w:rPr>
          <w:sz w:val="24"/>
          <w:szCs w:val="24"/>
        </w:rPr>
        <w:t>，邮箱：</w:t>
      </w:r>
      <w:r>
        <w:fldChar w:fldCharType="begin"/>
      </w:r>
      <w:r>
        <w:instrText xml:space="preserve"> HYPERLINK "mailto:safeyong@163.com" </w:instrText>
      </w:r>
      <w:r>
        <w:fldChar w:fldCharType="separate"/>
      </w:r>
      <w:r>
        <w:rPr>
          <w:rStyle w:val="11"/>
          <w:sz w:val="24"/>
          <w:szCs w:val="24"/>
          <w:lang w:val="en-US"/>
        </w:rPr>
        <w:t>safeyong@163.com</w:t>
      </w:r>
      <w:r>
        <w:rPr>
          <w:rStyle w:val="11"/>
          <w:sz w:val="24"/>
          <w:szCs w:val="24"/>
          <w:lang w:val="en-US"/>
        </w:rPr>
        <w:fldChar w:fldCharType="end"/>
      </w:r>
      <w:r>
        <w:t>。</w:t>
      </w: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ind w:left="112"/>
        <w:rPr>
          <w:rFonts w:ascii="Times New Roman" w:eastAsiaTheme="minorEastAsia"/>
          <w:sz w:val="24"/>
        </w:rPr>
      </w:pPr>
    </w:p>
    <w:p>
      <w:pPr>
        <w:tabs>
          <w:tab w:val="left" w:pos="7439"/>
        </w:tabs>
        <w:spacing w:before="74"/>
        <w:rPr>
          <w:rFonts w:ascii="Times New Roman" w:eastAsiaTheme="minorEastAsia"/>
          <w:sz w:val="24"/>
        </w:rPr>
      </w:pPr>
    </w:p>
    <w:sectPr>
      <w:footerReference r:id="rId5" w:type="default"/>
      <w:pgSz w:w="16840" w:h="11910" w:orient="landscape"/>
      <w:pgMar w:top="1100" w:right="1260" w:bottom="280"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lang w:val="en-US"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docVars>
    <w:docVar w:name="commondata" w:val="eyJoZGlkIjoiMjlmOTdkZmY0ZGYwZGQyZjNhYTBiZDczNTY4OGU0YjgifQ=="/>
  </w:docVars>
  <w:rsids>
    <w:rsidRoot w:val="000A5075"/>
    <w:rsid w:val="000149EB"/>
    <w:rsid w:val="000203E6"/>
    <w:rsid w:val="00040001"/>
    <w:rsid w:val="00045636"/>
    <w:rsid w:val="00064B55"/>
    <w:rsid w:val="00074B76"/>
    <w:rsid w:val="000831B2"/>
    <w:rsid w:val="00097AB1"/>
    <w:rsid w:val="000A5075"/>
    <w:rsid w:val="000B1270"/>
    <w:rsid w:val="000D2A39"/>
    <w:rsid w:val="000F60CD"/>
    <w:rsid w:val="00102F5B"/>
    <w:rsid w:val="00110213"/>
    <w:rsid w:val="00120707"/>
    <w:rsid w:val="00155463"/>
    <w:rsid w:val="001A5621"/>
    <w:rsid w:val="001F49C3"/>
    <w:rsid w:val="00211538"/>
    <w:rsid w:val="002375FD"/>
    <w:rsid w:val="002524EF"/>
    <w:rsid w:val="00267ED6"/>
    <w:rsid w:val="00273991"/>
    <w:rsid w:val="0028394D"/>
    <w:rsid w:val="00292F66"/>
    <w:rsid w:val="002A66A2"/>
    <w:rsid w:val="002A7ACD"/>
    <w:rsid w:val="002C6FE1"/>
    <w:rsid w:val="002F5A2A"/>
    <w:rsid w:val="00320709"/>
    <w:rsid w:val="00364D34"/>
    <w:rsid w:val="0036569D"/>
    <w:rsid w:val="00380CFA"/>
    <w:rsid w:val="00383A75"/>
    <w:rsid w:val="00391191"/>
    <w:rsid w:val="003A7FA9"/>
    <w:rsid w:val="003B31BE"/>
    <w:rsid w:val="003C0012"/>
    <w:rsid w:val="003C5A88"/>
    <w:rsid w:val="003D0F4B"/>
    <w:rsid w:val="00401AC8"/>
    <w:rsid w:val="004071CA"/>
    <w:rsid w:val="00410285"/>
    <w:rsid w:val="00414F78"/>
    <w:rsid w:val="004377E8"/>
    <w:rsid w:val="00460F98"/>
    <w:rsid w:val="004727E6"/>
    <w:rsid w:val="004746CC"/>
    <w:rsid w:val="0049145F"/>
    <w:rsid w:val="004A44AB"/>
    <w:rsid w:val="004B2D1A"/>
    <w:rsid w:val="004E5211"/>
    <w:rsid w:val="005124E6"/>
    <w:rsid w:val="00513B38"/>
    <w:rsid w:val="00516C66"/>
    <w:rsid w:val="0053774D"/>
    <w:rsid w:val="00540C54"/>
    <w:rsid w:val="00547CC8"/>
    <w:rsid w:val="0056222A"/>
    <w:rsid w:val="0056484A"/>
    <w:rsid w:val="0057199B"/>
    <w:rsid w:val="005834FE"/>
    <w:rsid w:val="005C2897"/>
    <w:rsid w:val="005D25E2"/>
    <w:rsid w:val="005E2CBA"/>
    <w:rsid w:val="005E3078"/>
    <w:rsid w:val="005E5F49"/>
    <w:rsid w:val="005F046F"/>
    <w:rsid w:val="005F3B33"/>
    <w:rsid w:val="00606BC1"/>
    <w:rsid w:val="006473AD"/>
    <w:rsid w:val="006533B4"/>
    <w:rsid w:val="0065507D"/>
    <w:rsid w:val="006569E4"/>
    <w:rsid w:val="0066154E"/>
    <w:rsid w:val="0067069E"/>
    <w:rsid w:val="006738A2"/>
    <w:rsid w:val="00675E95"/>
    <w:rsid w:val="00676A38"/>
    <w:rsid w:val="00682DA8"/>
    <w:rsid w:val="00684949"/>
    <w:rsid w:val="006876A6"/>
    <w:rsid w:val="0069463F"/>
    <w:rsid w:val="006B00BC"/>
    <w:rsid w:val="006C4BA2"/>
    <w:rsid w:val="006C739E"/>
    <w:rsid w:val="00702DD8"/>
    <w:rsid w:val="00744287"/>
    <w:rsid w:val="00754EF1"/>
    <w:rsid w:val="007D21CC"/>
    <w:rsid w:val="007E17F7"/>
    <w:rsid w:val="0080796E"/>
    <w:rsid w:val="00842470"/>
    <w:rsid w:val="00853F78"/>
    <w:rsid w:val="008608AF"/>
    <w:rsid w:val="00890571"/>
    <w:rsid w:val="00897799"/>
    <w:rsid w:val="0091082A"/>
    <w:rsid w:val="0091466C"/>
    <w:rsid w:val="00936A31"/>
    <w:rsid w:val="00976EE5"/>
    <w:rsid w:val="00982E2D"/>
    <w:rsid w:val="00987A4C"/>
    <w:rsid w:val="009A02AB"/>
    <w:rsid w:val="009A1955"/>
    <w:rsid w:val="009A1D4E"/>
    <w:rsid w:val="009A327E"/>
    <w:rsid w:val="009A4E2C"/>
    <w:rsid w:val="009B7DC8"/>
    <w:rsid w:val="00A06FD3"/>
    <w:rsid w:val="00A1131A"/>
    <w:rsid w:val="00A12C39"/>
    <w:rsid w:val="00A7704B"/>
    <w:rsid w:val="00A92726"/>
    <w:rsid w:val="00A92860"/>
    <w:rsid w:val="00AB72F7"/>
    <w:rsid w:val="00AC6D81"/>
    <w:rsid w:val="00AD5CD8"/>
    <w:rsid w:val="00B01166"/>
    <w:rsid w:val="00B210E8"/>
    <w:rsid w:val="00B219FD"/>
    <w:rsid w:val="00B24C81"/>
    <w:rsid w:val="00B511B0"/>
    <w:rsid w:val="00B56B76"/>
    <w:rsid w:val="00B6023D"/>
    <w:rsid w:val="00B616EC"/>
    <w:rsid w:val="00B65A22"/>
    <w:rsid w:val="00B66CDC"/>
    <w:rsid w:val="00B87087"/>
    <w:rsid w:val="00B87C4A"/>
    <w:rsid w:val="00B9386E"/>
    <w:rsid w:val="00BF5F55"/>
    <w:rsid w:val="00C024EC"/>
    <w:rsid w:val="00C075BF"/>
    <w:rsid w:val="00C436A3"/>
    <w:rsid w:val="00C520E8"/>
    <w:rsid w:val="00C56EBE"/>
    <w:rsid w:val="00C84694"/>
    <w:rsid w:val="00C85475"/>
    <w:rsid w:val="00CA3210"/>
    <w:rsid w:val="00CC4CC4"/>
    <w:rsid w:val="00CD61A3"/>
    <w:rsid w:val="00CF1BF6"/>
    <w:rsid w:val="00D11D5D"/>
    <w:rsid w:val="00D25D3D"/>
    <w:rsid w:val="00D34BA5"/>
    <w:rsid w:val="00DA72EE"/>
    <w:rsid w:val="00DD2AF5"/>
    <w:rsid w:val="00DD2C42"/>
    <w:rsid w:val="00DD3EFD"/>
    <w:rsid w:val="00E2586B"/>
    <w:rsid w:val="00E3269A"/>
    <w:rsid w:val="00E437A7"/>
    <w:rsid w:val="00E473ED"/>
    <w:rsid w:val="00E628D9"/>
    <w:rsid w:val="00E66AB1"/>
    <w:rsid w:val="00E7413C"/>
    <w:rsid w:val="00E759CD"/>
    <w:rsid w:val="00EA5082"/>
    <w:rsid w:val="00EA5550"/>
    <w:rsid w:val="00EB1BFC"/>
    <w:rsid w:val="00ED3D4E"/>
    <w:rsid w:val="00ED6281"/>
    <w:rsid w:val="00F041DF"/>
    <w:rsid w:val="00F10C2D"/>
    <w:rsid w:val="00F41A59"/>
    <w:rsid w:val="00F66989"/>
    <w:rsid w:val="00F66E73"/>
    <w:rsid w:val="00F945AE"/>
    <w:rsid w:val="00FA4243"/>
    <w:rsid w:val="00FD0AB9"/>
    <w:rsid w:val="00FE75A5"/>
    <w:rsid w:val="0DE354B8"/>
    <w:rsid w:val="136234EC"/>
    <w:rsid w:val="20B64206"/>
    <w:rsid w:val="216EE58F"/>
    <w:rsid w:val="2BFA0ACD"/>
    <w:rsid w:val="33650EFB"/>
    <w:rsid w:val="3693E83D"/>
    <w:rsid w:val="3FBF8C2E"/>
    <w:rsid w:val="3FFFEBE9"/>
    <w:rsid w:val="4F487CF0"/>
    <w:rsid w:val="4FEB1EF3"/>
    <w:rsid w:val="59765E88"/>
    <w:rsid w:val="5EFD3E8E"/>
    <w:rsid w:val="68D74566"/>
    <w:rsid w:val="6E9F4C96"/>
    <w:rsid w:val="6F67E77A"/>
    <w:rsid w:val="6FBF2FC8"/>
    <w:rsid w:val="72EF4BD0"/>
    <w:rsid w:val="74A7EA3C"/>
    <w:rsid w:val="7EBB0CD7"/>
    <w:rsid w:val="97ED19C0"/>
    <w:rsid w:val="9FED3A2A"/>
    <w:rsid w:val="ABF7C0D8"/>
    <w:rsid w:val="BFFF57D6"/>
    <w:rsid w:val="E7AEE07F"/>
    <w:rsid w:val="FDD69170"/>
    <w:rsid w:val="FDF63253"/>
    <w:rsid w:val="FFBE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line="409" w:lineRule="exact"/>
      <w:ind w:left="763"/>
      <w:outlineLvl w:val="0"/>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rFonts w:cs="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Hyperlink"/>
    <w:basedOn w:val="9"/>
    <w:qFormat/>
    <w:uiPriority w:val="0"/>
    <w:rPr>
      <w:color w:val="0000FF" w:themeColor="hyperlink"/>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212"/>
      <w:ind w:left="1004" w:hanging="242"/>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1811</Words>
  <Characters>1942</Characters>
  <Lines>15</Lines>
  <Paragraphs>4</Paragraphs>
  <TotalTime>2</TotalTime>
  <ScaleCrop>false</ScaleCrop>
  <LinksUpToDate>false</LinksUpToDate>
  <CharactersWithSpaces>2020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2022-03-08T23:45:00Z</dcterms:created>
  <dc:creator>微软用户</dc:creator>
  <cp:lastModifiedBy>远近</cp:lastModifiedBy>
  <cp:lastPrinted>2022-03-10T19:42:00Z</cp:lastPrinted>
  <dcterms:modified xsi:type="dcterms:W3CDTF">2022-09-07T02:36:57Z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Creator">
    <vt:lpwstr>WPS 文字</vt:lpwstr>
  </property>
  <property fmtid="{D5CDD505-2E9C-101B-9397-08002B2CF9AE}" pid="4" name="LastSaved">
    <vt:filetime>2022-03-08T00:00:00Z</vt:filetime>
  </property>
  <property fmtid="{D5CDD505-2E9C-101B-9397-08002B2CF9AE}" pid="5" name="KSOProductBuildVer">
    <vt:lpwstr>2052-11.1.0.12019</vt:lpwstr>
  </property>
  <property fmtid="{D5CDD505-2E9C-101B-9397-08002B2CF9AE}" pid="6" name="ICV">
    <vt:lpwstr>F5C4DB3E7F6D6EDF7E420F631686C296</vt:lpwstr>
  </property>
</Properties>
</file>